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olor w:val="auto"/>
          <w:sz w:val="30"/>
          <w:szCs w:val="30"/>
          <w:highlight w:val="none"/>
          <w:lang w:eastAsia="zh-CN"/>
        </w:rPr>
      </w:pPr>
      <w:r>
        <w:rPr>
          <w:rFonts w:hint="eastAsia" w:ascii="黑体" w:hAnsi="宋体" w:eastAsia="黑体"/>
          <w:color w:val="auto"/>
          <w:sz w:val="32"/>
          <w:szCs w:val="32"/>
          <w:highlight w:val="none"/>
        </w:rPr>
        <w:t>附件</w:t>
      </w:r>
      <w:r>
        <w:rPr>
          <w:rFonts w:hint="eastAsia" w:ascii="黑体" w:hAnsi="宋体" w:eastAsia="黑体"/>
          <w:color w:val="auto"/>
          <w:sz w:val="32"/>
          <w:szCs w:val="32"/>
          <w:highlight w:val="none"/>
          <w:lang w:val="en-US" w:eastAsia="zh-CN"/>
        </w:rPr>
        <w:t>2</w:t>
      </w:r>
    </w:p>
    <w:p>
      <w:pPr>
        <w:jc w:val="center"/>
        <w:rPr>
          <w:rFonts w:hint="eastAsia" w:ascii="黑体" w:hAnsi="ˎ̥" w:eastAsia="黑体"/>
          <w:color w:val="auto"/>
          <w:sz w:val="44"/>
          <w:szCs w:val="44"/>
          <w:highlight w:val="none"/>
          <w:lang w:eastAsia="zh-CN"/>
        </w:rPr>
      </w:pPr>
      <w:r>
        <w:rPr>
          <w:rFonts w:hint="eastAsia" w:ascii="黑体" w:hAnsi="ˎ̥" w:eastAsia="黑体"/>
          <w:color w:val="auto"/>
          <w:sz w:val="44"/>
          <w:szCs w:val="44"/>
          <w:highlight w:val="none"/>
          <w:lang w:eastAsia="zh-CN"/>
        </w:rPr>
        <w:t>三亚市博物馆202</w:t>
      </w:r>
      <w:r>
        <w:rPr>
          <w:rFonts w:hint="eastAsia" w:ascii="黑体" w:hAnsi="ˎ̥" w:eastAsia="黑体"/>
          <w:color w:val="auto"/>
          <w:sz w:val="44"/>
          <w:szCs w:val="44"/>
          <w:highlight w:val="none"/>
          <w:lang w:val="en-US" w:eastAsia="zh-CN"/>
        </w:rPr>
        <w:t>2</w:t>
      </w:r>
      <w:r>
        <w:rPr>
          <w:rFonts w:hint="eastAsia" w:ascii="黑体" w:hAnsi="ˎ̥" w:eastAsia="黑体"/>
          <w:color w:val="auto"/>
          <w:sz w:val="44"/>
          <w:szCs w:val="44"/>
          <w:highlight w:val="none"/>
          <w:lang w:eastAsia="zh-CN"/>
        </w:rPr>
        <w:t>年度单位决算公开报告</w:t>
      </w:r>
    </w:p>
    <w:p>
      <w:pPr>
        <w:jc w:val="center"/>
        <w:rPr>
          <w:rFonts w:hint="eastAsia" w:ascii="黑体" w:hAnsi="ˎ̥" w:eastAsia="黑体"/>
          <w:b/>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年度部门决算公开表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2022年度部门决算情况说明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5</w:t>
      </w:r>
    </w:p>
    <w:p>
      <w:pPr>
        <w:jc w:val="center"/>
        <w:rPr>
          <w:rFonts w:hint="eastAsia" w:ascii="黑体" w:hAnsi="ˎ̥" w:eastAsia="黑体"/>
          <w:color w:val="000000"/>
          <w:sz w:val="32"/>
          <w:szCs w:val="32"/>
          <w:highlight w:val="none"/>
        </w:rPr>
      </w:pPr>
      <w:bookmarkStart w:id="2" w:name="_Toc1704_WPSOffice_Level1"/>
      <w:bookmarkStart w:id="3" w:name="_Toc10049_WPSOffice_Level1"/>
      <w:bookmarkStart w:id="4" w:name="_Toc23465_WPSOffice_Level1"/>
      <w:bookmarkStart w:id="5" w:name="_Toc32433_WPSOffice_Level1"/>
      <w:bookmarkStart w:id="6" w:name="_Toc10720_WPSOffice_Level1"/>
      <w:bookmarkStart w:id="7" w:name="_Toc22941_WPSOffice_Level1"/>
      <w:bookmarkStart w:id="8" w:name="_Toc24238_WPSOffice_Level2"/>
      <w:bookmarkStart w:id="9" w:name="_Toc20205_WPSOffice_Level2"/>
      <w:bookmarkStart w:id="10" w:name="_Toc32622_WPSOffice_Level2"/>
      <w:bookmarkStart w:id="11" w:name="_Toc14159_WPSOffice_Level2"/>
      <w:bookmarkStart w:id="12" w:name="_Toc26580_WPSOffice_Level2"/>
      <w:bookmarkStart w:id="13" w:name="_Toc20274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w:t>
      </w:r>
      <w:bookmarkEnd w:id="8"/>
      <w:r>
        <w:rPr>
          <w:rFonts w:hint="eastAsia" w:ascii="黑体" w:hAnsi="黑体" w:eastAsia="黑体" w:cs="黑体"/>
          <w:color w:val="000000"/>
          <w:sz w:val="32"/>
          <w:szCs w:val="32"/>
          <w:highlight w:val="none"/>
        </w:rPr>
        <w:t>单位职责</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lang w:val="en-US" w:eastAsia="zh-CN"/>
        </w:rPr>
        <w:t xml:space="preserve">   </w:t>
      </w:r>
      <w:r>
        <w:rPr>
          <w:rFonts w:hint="eastAsia" w:ascii="仿宋_GB2312" w:hAnsi="ˎ̥" w:eastAsia="仿宋_GB2312" w:cs="Times New Roman"/>
          <w:color w:val="000000"/>
          <w:sz w:val="32"/>
          <w:szCs w:val="32"/>
          <w:highlight w:val="none"/>
        </w:rPr>
        <w:t>（一）宣传贯彻执行《中华人民共和国文物保护法》及有关法律、法规，增强广大市民的文物保护意识。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lang w:val="en-US" w:eastAsia="zh-CN"/>
        </w:rPr>
        <w:t xml:space="preserve">   </w:t>
      </w:r>
      <w:r>
        <w:rPr>
          <w:rFonts w:hint="eastAsia" w:ascii="仿宋_GB2312" w:hAnsi="ˎ̥" w:eastAsia="仿宋_GB2312" w:cs="Times New Roman"/>
          <w:color w:val="000000"/>
          <w:sz w:val="32"/>
          <w:szCs w:val="32"/>
          <w:highlight w:val="none"/>
        </w:rPr>
        <w:t>（二）负责对我市具有历史、艺术、科学价值的可移动文物的征集、收藏、保管、陈列、展示，充实博物馆展品的内容。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lang w:val="en-US" w:eastAsia="zh-CN"/>
        </w:rPr>
        <w:t xml:space="preserve">   </w:t>
      </w:r>
      <w:r>
        <w:rPr>
          <w:rFonts w:hint="eastAsia" w:ascii="仿宋_GB2312" w:hAnsi="ˎ̥" w:eastAsia="仿宋_GB2312" w:cs="Times New Roman"/>
          <w:color w:val="000000"/>
          <w:sz w:val="32"/>
          <w:szCs w:val="32"/>
          <w:highlight w:val="none"/>
        </w:rPr>
        <w:t>（三）对馆藏文物按有关规定进行妥善保管</w:t>
      </w:r>
      <w:r>
        <w:rPr>
          <w:rFonts w:hint="eastAsia" w:ascii="仿宋_GB2312" w:hAnsi="ˎ̥" w:eastAsia="仿宋_GB2312" w:cs="Times New Roman"/>
          <w:color w:val="000000"/>
          <w:sz w:val="32"/>
          <w:szCs w:val="32"/>
          <w:highlight w:val="none"/>
          <w:lang w:eastAsia="zh-CN"/>
        </w:rPr>
        <w:t>，</w:t>
      </w:r>
      <w:r>
        <w:rPr>
          <w:rFonts w:hint="eastAsia" w:ascii="仿宋_GB2312" w:hAnsi="ˎ̥" w:eastAsia="仿宋_GB2312" w:cs="Times New Roman"/>
          <w:color w:val="000000"/>
          <w:sz w:val="32"/>
          <w:szCs w:val="32"/>
          <w:highlight w:val="none"/>
        </w:rPr>
        <w:t>采取有效措施，防火、防盗，确保文物安全。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lang w:val="en-US" w:eastAsia="zh-CN"/>
        </w:rPr>
        <w:t xml:space="preserve">    </w:t>
      </w:r>
      <w:r>
        <w:rPr>
          <w:rFonts w:hint="eastAsia" w:ascii="仿宋_GB2312" w:hAnsi="ˎ̥" w:eastAsia="仿宋_GB2312" w:cs="Times New Roman"/>
          <w:color w:val="000000"/>
          <w:sz w:val="32"/>
          <w:szCs w:val="32"/>
          <w:highlight w:val="none"/>
        </w:rPr>
        <w:t>（四）对全市范围内的历史、民俗文物进行普查、征集；协调省博物馆考古部门做好对我市的考古踏和考虑发掘工作。             </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ˎ̥" w:eastAsia="仿宋_GB2312" w:cs="Times New Roman"/>
          <w:b/>
          <w:bCs/>
          <w:color w:val="000000"/>
          <w:sz w:val="32"/>
          <w:szCs w:val="32"/>
          <w:highlight w:val="none"/>
        </w:rPr>
      </w:pPr>
      <w:r>
        <w:rPr>
          <w:rFonts w:hint="eastAsia" w:ascii="仿宋_GB2312" w:hAnsi="ˎ̥" w:eastAsia="仿宋_GB2312" w:cs="Times New Roman"/>
          <w:b/>
          <w:bCs/>
          <w:color w:val="000000"/>
          <w:sz w:val="32"/>
          <w:szCs w:val="32"/>
          <w:highlight w:val="none"/>
        </w:rPr>
        <w:t>二、机构设置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ˎ̥" w:eastAsia="仿宋_GB2312" w:cs="Times New Roman"/>
          <w:color w:val="000000"/>
          <w:sz w:val="32"/>
          <w:szCs w:val="32"/>
          <w:highlight w:val="none"/>
          <w:lang w:val="en-US" w:eastAsia="zh-CN"/>
        </w:rPr>
      </w:pPr>
      <w:r>
        <w:rPr>
          <w:rFonts w:hint="eastAsia" w:ascii="仿宋_GB2312" w:hAnsi="ˎ̥" w:eastAsia="仿宋_GB2312" w:cs="Times New Roman"/>
          <w:color w:val="000000"/>
          <w:sz w:val="32"/>
          <w:szCs w:val="32"/>
          <w:highlight w:val="none"/>
          <w:lang w:eastAsia="zh-CN"/>
        </w:rPr>
        <w:t>三亚市博物馆设</w:t>
      </w:r>
      <w:r>
        <w:rPr>
          <w:rFonts w:hint="eastAsia" w:ascii="仿宋_GB2312" w:hAnsi="ˎ̥" w:eastAsia="仿宋_GB2312" w:cs="Times New Roman"/>
          <w:color w:val="000000"/>
          <w:sz w:val="32"/>
          <w:szCs w:val="32"/>
          <w:highlight w:val="none"/>
          <w:lang w:val="en-US" w:eastAsia="zh-CN"/>
        </w:rPr>
        <w:t>1个内设机构，事业编制5名，设管理岗位3名，（单位领导2名，其他管理岗位1名），专业技术岗位2名；现有在编4名，管理岗位1名（其中副馆长1名），专业技术岗位2名，工勤岗位1名。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rPr>
        <w:t>纳入三亚市博物馆2022年度部门决算编制范围的二级预算单位仅有单位本级。</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ˎ̥" w:eastAsia="黑体"/>
          <w:color w:val="000000"/>
          <w:sz w:val="32"/>
          <w:szCs w:val="32"/>
          <w:highlight w:val="none"/>
        </w:rPr>
      </w:pPr>
      <w:bookmarkStart w:id="14" w:name="_Toc8164_WPSOffice_Level1"/>
      <w:bookmarkStart w:id="15" w:name="_Toc15521_WPSOffice_Level1"/>
      <w:bookmarkStart w:id="16" w:name="_Toc30451_WPSOffice_Level1"/>
      <w:bookmarkStart w:id="17" w:name="_Toc28253_WPSOffice_Level1"/>
      <w:bookmarkStart w:id="18" w:name="_Toc30690_WPSOffice_Level1"/>
      <w:bookmarkStart w:id="19" w:name="_Toc6234_WPSOffice_Level1"/>
      <w:bookmarkStart w:id="20" w:name="_Toc32472_WPSOffice_Level2"/>
      <w:bookmarkStart w:id="21" w:name="_Toc32695_WPSOffice_Level2"/>
      <w:bookmarkStart w:id="22" w:name="_Toc4029_WPSOffice_Level2"/>
      <w:bookmarkStart w:id="23" w:name="_Toc11518_WPSOffice_Level2"/>
      <w:bookmarkStart w:id="24" w:name="_Toc6211_WPSOffice_Level2"/>
      <w:bookmarkStart w:id="25" w:name="_Toc8867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2022年度部门决算公开报表</w:t>
      </w:r>
      <w:bookmarkEnd w:id="14"/>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0"/>
      <w:bookmarkEnd w:id="21"/>
      <w:bookmarkEnd w:id="22"/>
      <w:bookmarkEnd w:id="23"/>
      <w:bookmarkEnd w:id="24"/>
      <w:bookmarkEnd w:id="25"/>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26" w:name="_Toc26621_WPSOffice_Level2"/>
      <w:bookmarkStart w:id="27" w:name="_Toc28622_WPSOffice_Level2"/>
      <w:bookmarkStart w:id="28" w:name="_Toc25608_WPSOffice_Level2"/>
      <w:bookmarkStart w:id="29" w:name="_Toc30334_WPSOffice_Level2"/>
      <w:bookmarkStart w:id="30" w:name="_Toc23139_WPSOffice_Level2"/>
      <w:bookmarkStart w:id="31" w:name="_Toc14349_WPSOffice_Level2"/>
      <w:r>
        <w:rPr>
          <w:rFonts w:hint="eastAsia" w:ascii="黑体" w:hAnsi="黑体" w:eastAsia="黑体" w:cs="黑体"/>
          <w:color w:val="000000"/>
          <w:sz w:val="32"/>
          <w:szCs w:val="32"/>
          <w:highlight w:val="none"/>
        </w:rPr>
        <w:t>二、收入决算公开表</w:t>
      </w:r>
      <w:bookmarkEnd w:id="26"/>
      <w:bookmarkEnd w:id="27"/>
      <w:bookmarkEnd w:id="28"/>
      <w:bookmarkEnd w:id="29"/>
      <w:bookmarkEnd w:id="30"/>
      <w:bookmarkEnd w:id="31"/>
      <w:bookmarkStart w:id="32" w:name="_Toc5489_WPSOffice_Level2"/>
      <w:bookmarkStart w:id="33" w:name="_Toc17626_WPSOffice_Level2"/>
      <w:bookmarkStart w:id="34" w:name="_Toc17858_WPSOffice_Level2"/>
      <w:bookmarkStart w:id="35" w:name="_Toc13854_WPSOffice_Level2"/>
      <w:bookmarkStart w:id="36" w:name="_Toc14658_WPSOffice_Level2"/>
      <w:bookmarkStart w:id="37" w:name="_Toc3262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2"/>
      <w:bookmarkEnd w:id="33"/>
      <w:bookmarkEnd w:id="34"/>
      <w:bookmarkEnd w:id="35"/>
      <w:bookmarkEnd w:id="36"/>
      <w:bookmarkEnd w:id="37"/>
      <w:bookmarkStart w:id="38" w:name="_Toc23493_WPSOffice_Level2"/>
      <w:bookmarkStart w:id="39" w:name="_Toc7988_WPSOffice_Level2"/>
      <w:bookmarkStart w:id="40" w:name="_Toc13701_WPSOffice_Level2"/>
      <w:bookmarkStart w:id="41" w:name="_Toc21415_WPSOffice_Level2"/>
      <w:bookmarkStart w:id="42" w:name="_Toc23591_WPSOffice_Level2"/>
      <w:bookmarkStart w:id="43" w:name="_Toc4265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38"/>
      <w:bookmarkEnd w:id="39"/>
      <w:bookmarkEnd w:id="40"/>
      <w:bookmarkEnd w:id="41"/>
      <w:bookmarkEnd w:id="42"/>
      <w:bookmarkEnd w:id="43"/>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4" w:name="_Toc22783_WPSOffice_Level2"/>
      <w:bookmarkStart w:id="45" w:name="_Toc25166_WPSOffice_Level2"/>
      <w:bookmarkStart w:id="46" w:name="_Toc23829_WPSOffice_Level2"/>
      <w:bookmarkStart w:id="47" w:name="_Toc7879_WPSOffice_Level2"/>
      <w:bookmarkStart w:id="48" w:name="_Toc2158_WPSOffice_Level2"/>
      <w:bookmarkStart w:id="49" w:name="_Toc13516_WPSOffice_Level2"/>
      <w:r>
        <w:rPr>
          <w:rFonts w:hint="eastAsia" w:ascii="黑体" w:hAnsi="黑体" w:eastAsia="黑体" w:cs="黑体"/>
          <w:color w:val="000000"/>
          <w:sz w:val="32"/>
          <w:szCs w:val="32"/>
          <w:highlight w:val="none"/>
        </w:rPr>
        <w:t>五、一般公共预算财政拨款收入支出决算</w:t>
      </w:r>
      <w:bookmarkEnd w:id="44"/>
      <w:bookmarkEnd w:id="45"/>
      <w:bookmarkEnd w:id="46"/>
      <w:bookmarkEnd w:id="47"/>
      <w:r>
        <w:rPr>
          <w:rFonts w:hint="eastAsia" w:ascii="黑体" w:hAnsi="黑体" w:eastAsia="黑体" w:cs="黑体"/>
          <w:color w:val="000000"/>
          <w:sz w:val="32"/>
          <w:szCs w:val="32"/>
          <w:highlight w:val="none"/>
        </w:rPr>
        <w:t>公开表</w:t>
      </w:r>
      <w:bookmarkEnd w:id="48"/>
      <w:bookmarkEnd w:id="49"/>
      <w:bookmarkStart w:id="50" w:name="_Toc5343_WPSOffice_Level2"/>
      <w:bookmarkStart w:id="51" w:name="_Toc25362_WPSOffice_Level2"/>
      <w:bookmarkStart w:id="52" w:name="_Toc2632_WPSOffice_Level2"/>
      <w:bookmarkStart w:id="53" w:name="_Toc17833_WPSOffice_Level2"/>
      <w:bookmarkStart w:id="54" w:name="_Toc8373_WPSOffice_Level2"/>
      <w:bookmarkStart w:id="55" w:name="_Toc1728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0"/>
      <w:bookmarkEnd w:id="51"/>
      <w:bookmarkEnd w:id="52"/>
      <w:bookmarkEnd w:id="53"/>
      <w:bookmarkEnd w:id="54"/>
      <w:bookmarkEnd w:id="55"/>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56" w:name="_Toc11799_WPSOffice_Level2"/>
      <w:bookmarkStart w:id="57" w:name="_Toc13345_WPSOffice_Level2"/>
      <w:bookmarkStart w:id="58" w:name="_Toc5594_WPSOffice_Level2"/>
      <w:bookmarkStart w:id="59" w:name="_Toc1533_WPSOffice_Level2"/>
      <w:bookmarkStart w:id="60" w:name="_Toc21310_WPSOffice_Level2"/>
      <w:bookmarkStart w:id="61" w:name="_Toc6020_WPSOffice_Level2"/>
      <w:r>
        <w:rPr>
          <w:rFonts w:hint="eastAsia" w:ascii="黑体" w:hAnsi="黑体" w:eastAsia="黑体" w:cs="黑体"/>
          <w:color w:val="000000"/>
          <w:sz w:val="32"/>
          <w:szCs w:val="32"/>
          <w:highlight w:val="none"/>
        </w:rPr>
        <w:t>七、政府性基金预算财政拨款收入支出决算</w:t>
      </w:r>
      <w:bookmarkEnd w:id="56"/>
      <w:bookmarkEnd w:id="57"/>
      <w:bookmarkEnd w:id="58"/>
      <w:bookmarkEnd w:id="59"/>
      <w:bookmarkEnd w:id="60"/>
      <w:bookmarkEnd w:id="61"/>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2" w:name="_Toc29886_WPSOffice_Level2"/>
      <w:bookmarkStart w:id="63" w:name="_Toc19961_WPSOffice_Level2"/>
      <w:bookmarkStart w:id="64" w:name="_Toc9377_WPSOffice_Level2"/>
      <w:bookmarkStart w:id="65" w:name="_Toc1820_WPSOffice_Level2"/>
      <w:r>
        <w:rPr>
          <w:rFonts w:hint="eastAsia" w:ascii="黑体" w:hAnsi="黑体" w:eastAsia="黑体" w:cs="黑体"/>
          <w:color w:val="000000"/>
          <w:sz w:val="32"/>
          <w:szCs w:val="32"/>
          <w:highlight w:val="none"/>
        </w:rPr>
        <w:t>九、财政拨款“三公”经费支出决算</w:t>
      </w:r>
      <w:bookmarkEnd w:id="62"/>
      <w:bookmarkEnd w:id="63"/>
      <w:bookmarkEnd w:id="64"/>
      <w:bookmarkEnd w:id="65"/>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numPr>
          <w:ilvl w:val="0"/>
          <w:numId w:val="0"/>
        </w:numPr>
        <w:ind w:firstLine="0" w:firstLineChars="0"/>
        <w:rPr>
          <w:rFonts w:hint="eastAsia" w:ascii="黑体" w:hAnsi="黑体" w:eastAsia="黑体" w:cs="黑体"/>
          <w:color w:val="auto"/>
          <w:sz w:val="32"/>
          <w:szCs w:val="32"/>
          <w:highlight w:val="none"/>
          <w:lang w:eastAsia="zh-CN"/>
        </w:rPr>
      </w:pPr>
    </w:p>
    <w:p>
      <w:pPr>
        <w:jc w:val="center"/>
        <w:rPr>
          <w:rFonts w:hint="eastAsia" w:ascii="黑体" w:hAnsi="ˎ̥" w:eastAsia="黑体"/>
          <w:b w:val="0"/>
          <w:bCs w:val="0"/>
          <w:color w:val="auto"/>
          <w:sz w:val="32"/>
          <w:szCs w:val="32"/>
          <w:highlight w:val="none"/>
        </w:rPr>
      </w:pPr>
      <w:bookmarkStart w:id="66" w:name="_Toc16686_WPSOffice_Level1"/>
      <w:bookmarkStart w:id="67" w:name="_Toc31264_WPSOffice_Level1"/>
      <w:bookmarkStart w:id="68" w:name="_Toc4402_WPSOffice_Level1"/>
      <w:bookmarkStart w:id="69" w:name="_Toc28629_WPSOffice_Level1"/>
      <w:bookmarkStart w:id="70" w:name="_Toc29683_WPSOffice_Level1"/>
      <w:bookmarkStart w:id="71" w:name="_Toc27590_WPSOffice_Level1"/>
      <w:r>
        <w:rPr>
          <w:rFonts w:hint="eastAsia" w:ascii="黑体" w:hAnsi="ˎ̥" w:eastAsia="黑体"/>
          <w:b w:val="0"/>
          <w:bCs w:val="0"/>
          <w:color w:val="auto"/>
          <w:sz w:val="32"/>
          <w:szCs w:val="32"/>
          <w:highlight w:val="none"/>
          <w:lang w:eastAsia="zh-CN"/>
        </w:rPr>
        <w:t>第三部分</w:t>
      </w:r>
      <w:r>
        <w:rPr>
          <w:rFonts w:hint="eastAsia" w:ascii="黑体" w:hAnsi="ˎ̥" w:eastAsia="黑体"/>
          <w:b w:val="0"/>
          <w:bCs w:val="0"/>
          <w:color w:val="auto"/>
          <w:sz w:val="32"/>
          <w:szCs w:val="32"/>
          <w:highlight w:val="none"/>
          <w:lang w:val="en-US" w:eastAsia="zh-CN"/>
        </w:rPr>
        <w:t xml:space="preserve">  </w:t>
      </w:r>
      <w:r>
        <w:rPr>
          <w:rFonts w:hint="eastAsia" w:ascii="黑体" w:hAnsi="ˎ̥" w:eastAsia="黑体"/>
          <w:b w:val="0"/>
          <w:bCs w:val="0"/>
          <w:color w:val="auto"/>
          <w:sz w:val="32"/>
          <w:szCs w:val="32"/>
          <w:highlight w:val="none"/>
          <w:lang w:eastAsia="zh-CN"/>
        </w:rPr>
        <w:t>202</w:t>
      </w:r>
      <w:r>
        <w:rPr>
          <w:rFonts w:hint="eastAsia" w:ascii="黑体" w:hAnsi="ˎ̥" w:eastAsia="黑体"/>
          <w:b w:val="0"/>
          <w:bCs w:val="0"/>
          <w:color w:val="auto"/>
          <w:sz w:val="32"/>
          <w:szCs w:val="32"/>
          <w:highlight w:val="none"/>
          <w:lang w:val="en-US" w:eastAsia="zh-CN"/>
        </w:rPr>
        <w:t>2</w:t>
      </w:r>
      <w:r>
        <w:rPr>
          <w:rFonts w:hint="eastAsia" w:ascii="黑体" w:hAnsi="ˎ̥" w:eastAsia="黑体"/>
          <w:b w:val="0"/>
          <w:bCs w:val="0"/>
          <w:color w:val="auto"/>
          <w:sz w:val="32"/>
          <w:szCs w:val="32"/>
          <w:highlight w:val="none"/>
          <w:lang w:eastAsia="zh-CN"/>
        </w:rPr>
        <w:t>年度</w:t>
      </w:r>
      <w:r>
        <w:rPr>
          <w:rFonts w:hint="eastAsia" w:ascii="黑体" w:hAnsi="ˎ̥" w:eastAsia="黑体"/>
          <w:b w:val="0"/>
          <w:bCs w:val="0"/>
          <w:color w:val="auto"/>
          <w:sz w:val="32"/>
          <w:szCs w:val="32"/>
          <w:highlight w:val="none"/>
        </w:rPr>
        <w:t>部门决算情况说明</w:t>
      </w:r>
      <w:bookmarkEnd w:id="66"/>
      <w:bookmarkEnd w:id="67"/>
      <w:bookmarkEnd w:id="68"/>
      <w:bookmarkEnd w:id="69"/>
      <w:bookmarkEnd w:id="70"/>
      <w:bookmarkEnd w:id="71"/>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楷体_GB2312" w:hAnsi="ˎ̥" w:eastAsia="楷体_GB2312"/>
          <w:sz w:val="32"/>
          <w:szCs w:val="32"/>
          <w:highlight w:val="none"/>
        </w:rPr>
        <w:t xml:space="preserve">   </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收入总计236.55</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支出总计</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lang w:eastAsia="zh-CN"/>
        </w:rPr>
        <w:t>万元，</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val="en-US" w:eastAsia="zh-CN"/>
        </w:rPr>
        <w:t>收入、支出总计各增加89.5</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增长</w:t>
      </w:r>
      <w:r>
        <w:rPr>
          <w:rFonts w:hint="eastAsia" w:ascii="仿宋_GB2312" w:hAnsi="ˎ̥" w:eastAsia="仿宋_GB2312"/>
          <w:sz w:val="32"/>
          <w:szCs w:val="32"/>
          <w:highlight w:val="none"/>
          <w:lang w:val="en-US" w:eastAsia="zh-CN"/>
        </w:rPr>
        <w:t>60.1</w:t>
      </w:r>
      <w:r>
        <w:rPr>
          <w:rFonts w:hint="eastAsia" w:ascii="仿宋_GB2312" w:hAnsi="ˎ̥" w:eastAsia="仿宋_GB2312"/>
          <w:sz w:val="32"/>
          <w:szCs w:val="32"/>
          <w:highlight w:val="none"/>
        </w:rPr>
        <w:t>%。主要原因：是</w:t>
      </w:r>
      <w:r>
        <w:rPr>
          <w:rFonts w:hint="eastAsia" w:ascii="仿宋_GB2312" w:hAnsi="ˎ̥" w:eastAsia="仿宋_GB2312"/>
          <w:sz w:val="32"/>
          <w:szCs w:val="32"/>
          <w:highlight w:val="none"/>
          <w:lang w:val="en-US" w:eastAsia="zh-CN"/>
        </w:rPr>
        <w:t>2022年中央、省级都下达专项资金</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2021年度决算数增加0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。年初结转结余</w:t>
      </w:r>
      <w:r>
        <w:rPr>
          <w:rFonts w:hint="eastAsia" w:ascii="仿宋_GB2312" w:hAnsi="ˎ̥" w:eastAsia="仿宋_GB2312"/>
          <w:sz w:val="32"/>
          <w:szCs w:val="32"/>
          <w:highlight w:val="none"/>
          <w:lang w:val="en-US" w:eastAsia="zh-CN"/>
        </w:rPr>
        <w:t>0.03</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，主要是</w:t>
      </w:r>
      <w:r>
        <w:rPr>
          <w:rFonts w:hint="eastAsia" w:ascii="仿宋_GB2312" w:hAnsi="ˎ̥" w:eastAsia="仿宋_GB2312" w:cs="Times New Roman"/>
          <w:kern w:val="2"/>
          <w:sz w:val="32"/>
          <w:szCs w:val="32"/>
          <w:highlight w:val="none"/>
          <w:lang w:val="en-US" w:eastAsia="zh-CN" w:bidi="ar"/>
        </w:rPr>
        <w:t>项目资金结</w:t>
      </w:r>
      <w:r>
        <w:rPr>
          <w:rFonts w:hint="eastAsia" w:ascii="仿宋_GB2312" w:hAnsi="ˎ̥" w:eastAsia="仿宋_GB2312" w:cs="Times New Roman"/>
          <w:sz w:val="32"/>
          <w:szCs w:val="32"/>
          <w:highlight w:val="none"/>
          <w:lang w:eastAsia="zh-CN"/>
        </w:rPr>
        <w:t>。</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2021年度决算数减少35</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下降</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w:t>
      </w:r>
      <w:r>
        <w:rPr>
          <w:rFonts w:hint="eastAsia" w:ascii="仿宋_GB2312" w:hAnsi="ˎ̥" w:eastAsia="仿宋_GB2312"/>
          <w:sz w:val="32"/>
          <w:szCs w:val="32"/>
          <w:highlight w:val="none"/>
          <w:lang w:val="en-US" w:eastAsia="zh-CN"/>
        </w:rPr>
        <w:t>2021年年初结转和结余资金较少</w:t>
      </w:r>
      <w:r>
        <w:rPr>
          <w:rFonts w:hint="eastAsia" w:ascii="仿宋_GB2312" w:hAnsi="ˎ̥" w:eastAsia="仿宋_GB2312"/>
          <w:sz w:val="32"/>
          <w:szCs w:val="32"/>
          <w:highlight w:val="none"/>
          <w:lang w:eastAsia="zh-CN"/>
        </w:rPr>
        <w:t>。结余分配</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0.03</w:t>
      </w:r>
      <w:r>
        <w:rPr>
          <w:rFonts w:hint="eastAsia" w:ascii="仿宋_GB2312" w:hAnsi="ˎ̥" w:eastAsia="仿宋_GB2312"/>
          <w:sz w:val="32"/>
          <w:szCs w:val="32"/>
        </w:rPr>
        <w:t>万元</w:t>
      </w:r>
      <w:r>
        <w:rPr>
          <w:rFonts w:hint="eastAsia" w:ascii="仿宋_GB2312" w:hAnsi="ˎ̥" w:eastAsia="仿宋_GB2312"/>
          <w:sz w:val="32"/>
          <w:szCs w:val="32"/>
          <w:lang w:eastAsia="zh-CN"/>
        </w:rPr>
        <w:t>，主要是项目资金结转下年度，较</w:t>
      </w:r>
      <w:r>
        <w:rPr>
          <w:rFonts w:hint="eastAsia" w:ascii="仿宋_GB2312" w:hAnsi="ˎ̥" w:eastAsia="仿宋_GB2312"/>
          <w:sz w:val="32"/>
          <w:szCs w:val="32"/>
          <w:lang w:val="en-US" w:eastAsia="zh-CN"/>
        </w:rPr>
        <w:t>2021年度决算持平</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项目基本全部完成</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w:t>
      </w:r>
      <w:r>
        <w:rPr>
          <w:rFonts w:hint="eastAsia" w:ascii="仿宋_GB2312" w:hAnsi="ˎ̥" w:eastAsia="仿宋_GB2312"/>
          <w:sz w:val="32"/>
          <w:szCs w:val="32"/>
          <w:highlight w:val="none"/>
        </w:rPr>
        <w:t>年收入合计</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rPr>
        <w:t>万元，其中</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236.55</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万元，占0%</w:t>
      </w:r>
      <w:r>
        <w:rPr>
          <w:rFonts w:hint="eastAsia" w:ascii="仿宋_GB2312" w:hAnsi="ˎ̥" w:eastAsia="仿宋_GB2312"/>
          <w:sz w:val="32"/>
          <w:szCs w:val="32"/>
          <w:lang w:eastAsia="zh-CN"/>
        </w:rPr>
        <w:t>；</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万元，占0%</w:t>
      </w:r>
      <w:r>
        <w:rPr>
          <w:rFonts w:hint="eastAsia" w:ascii="仿宋_GB2312" w:hAnsi="ˎ̥" w:eastAsia="仿宋_GB2312"/>
          <w:sz w:val="32"/>
          <w:szCs w:val="32"/>
          <w:lang w:eastAsia="zh-CN"/>
        </w:rPr>
        <w:t>；</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占0%</w:t>
      </w:r>
      <w:r>
        <w:rPr>
          <w:rFonts w:hint="eastAsia" w:ascii="仿宋_GB2312" w:hAnsi="ˎ̥" w:eastAsia="仿宋_GB2312"/>
          <w:sz w:val="32"/>
          <w:szCs w:val="32"/>
          <w:lang w:eastAsia="zh-CN"/>
        </w:rPr>
        <w:t>；</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万元，占0%</w:t>
      </w:r>
      <w:r>
        <w:rPr>
          <w:rFonts w:hint="eastAsia" w:ascii="仿宋_GB2312" w:hAnsi="ˎ̥" w:eastAsia="仿宋_GB2312"/>
          <w:sz w:val="32"/>
          <w:szCs w:val="32"/>
          <w:lang w:eastAsia="zh-CN"/>
        </w:rPr>
        <w:t>；</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占0%。</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w:t>
      </w:r>
      <w:r>
        <w:rPr>
          <w:rFonts w:hint="eastAsia" w:ascii="仿宋_GB2312" w:hAnsi="ˎ̥" w:eastAsia="仿宋_GB2312"/>
          <w:sz w:val="32"/>
          <w:szCs w:val="32"/>
          <w:highlight w:val="none"/>
        </w:rPr>
        <w:t>计</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rPr>
        <w:t>万元，</w:t>
      </w:r>
      <w:r>
        <w:rPr>
          <w:rFonts w:hint="eastAsia" w:ascii="仿宋_GB2312" w:hAnsi="ˎ̥" w:eastAsia="仿宋_GB2312"/>
          <w:sz w:val="32"/>
          <w:szCs w:val="32"/>
        </w:rPr>
        <w:t>其中：基本支出</w:t>
      </w:r>
      <w:r>
        <w:rPr>
          <w:rFonts w:hint="eastAsia" w:ascii="仿宋_GB2312" w:hAnsi="ˎ̥" w:eastAsia="仿宋_GB2312"/>
          <w:sz w:val="32"/>
          <w:szCs w:val="32"/>
          <w:lang w:val="en-US" w:eastAsia="zh-CN"/>
        </w:rPr>
        <w:t>74.64</w:t>
      </w:r>
      <w:r>
        <w:rPr>
          <w:rFonts w:hint="eastAsia" w:ascii="仿宋_GB2312" w:hAnsi="ˎ̥" w:eastAsia="仿宋_GB2312"/>
          <w:sz w:val="32"/>
          <w:szCs w:val="32"/>
        </w:rPr>
        <w:t>万元，占</w:t>
      </w:r>
      <w:r>
        <w:rPr>
          <w:rFonts w:hint="eastAsia" w:ascii="仿宋_GB2312" w:hAnsi="ˎ̥" w:eastAsia="仿宋_GB2312"/>
          <w:sz w:val="32"/>
          <w:szCs w:val="32"/>
          <w:lang w:val="en-US" w:eastAsia="zh-CN"/>
        </w:rPr>
        <w:t>32</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161.9</w:t>
      </w:r>
      <w:r>
        <w:rPr>
          <w:rFonts w:hint="eastAsia" w:ascii="仿宋_GB2312" w:hAnsi="ˎ̥" w:eastAsia="仿宋_GB2312"/>
          <w:sz w:val="32"/>
          <w:szCs w:val="32"/>
        </w:rPr>
        <w:t>万元，占</w:t>
      </w:r>
      <w:r>
        <w:rPr>
          <w:rFonts w:hint="eastAsia" w:ascii="仿宋_GB2312" w:hAnsi="ˎ̥" w:eastAsia="仿宋_GB2312"/>
          <w:sz w:val="32"/>
          <w:szCs w:val="32"/>
          <w:lang w:val="en-US" w:eastAsia="zh-CN"/>
        </w:rPr>
        <w:t>68</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万元，占0%</w:t>
      </w:r>
      <w:r>
        <w:rPr>
          <w:rFonts w:hint="eastAsia" w:ascii="仿宋_GB2312" w:hAnsi="ˎ̥" w:eastAsia="仿宋_GB2312"/>
          <w:sz w:val="32"/>
          <w:szCs w:val="32"/>
          <w:lang w:eastAsia="zh-CN"/>
        </w:rPr>
        <w:t>；</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万元，占0%</w:t>
      </w:r>
      <w:r>
        <w:rPr>
          <w:rFonts w:hint="eastAsia" w:ascii="仿宋_GB2312" w:hAnsi="ˎ̥" w:eastAsia="仿宋_GB2312"/>
          <w:sz w:val="32"/>
          <w:szCs w:val="32"/>
          <w:lang w:eastAsia="zh-CN"/>
        </w:rPr>
        <w:t>；</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占0%。</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财政拨款</w:t>
      </w:r>
      <w:r>
        <w:rPr>
          <w:rFonts w:hint="eastAsia" w:ascii="仿宋_GB2312" w:hAnsi="ˎ̥" w:eastAsia="仿宋_GB2312"/>
          <w:sz w:val="32"/>
          <w:szCs w:val="32"/>
          <w:highlight w:val="none"/>
        </w:rPr>
        <w:t>收入</w:t>
      </w:r>
      <w:r>
        <w:rPr>
          <w:rFonts w:hint="eastAsia" w:ascii="仿宋_GB2312" w:hAnsi="ˎ̥" w:eastAsia="仿宋_GB2312"/>
          <w:sz w:val="32"/>
          <w:szCs w:val="32"/>
          <w:highlight w:val="none"/>
          <w:lang w:eastAsia="zh-CN"/>
        </w:rPr>
        <w:t>总计</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lang w:eastAsia="zh-CN"/>
        </w:rPr>
        <w:t>万元，</w:t>
      </w:r>
      <w:r>
        <w:rPr>
          <w:rFonts w:hint="eastAsia" w:ascii="仿宋_GB2312" w:hAnsi="ˎ̥" w:eastAsia="仿宋_GB2312"/>
          <w:sz w:val="32"/>
          <w:szCs w:val="32"/>
          <w:lang w:val="en-US" w:eastAsia="zh-CN"/>
        </w:rPr>
        <w:t>支出总计   236.55</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89.48</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61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主要原因：是</w:t>
      </w:r>
      <w:r>
        <w:rPr>
          <w:rFonts w:hint="eastAsia" w:ascii="仿宋" w:hAnsi="仿宋" w:eastAsia="仿宋" w:cs="仿宋"/>
          <w:bCs/>
          <w:kern w:val="0"/>
          <w:sz w:val="32"/>
          <w:szCs w:val="32"/>
          <w:lang w:val="en-US" w:eastAsia="zh-CN" w:bidi="ar"/>
        </w:rPr>
        <w:t>中央级专项资金有所增加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s="Times New Roman"/>
          <w:kern w:val="2"/>
          <w:sz w:val="32"/>
          <w:szCs w:val="32"/>
          <w:lang w:val="en-US" w:eastAsia="zh-CN" w:bidi="ar"/>
        </w:rPr>
        <w:t>项目资金结转至下年度</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2021年度决算数减少34.99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项目已完成，无项目结转至下年度</w:t>
      </w:r>
      <w:r>
        <w:rPr>
          <w:rFonts w:hint="eastAsia" w:ascii="仿宋_GB2312" w:hAnsi="ˎ̥" w:eastAsia="仿宋_GB2312"/>
          <w:sz w:val="32"/>
          <w:szCs w:val="32"/>
          <w:lang w:eastAsia="zh-CN"/>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2021年度年末决算数持平</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项目已完成，无项目结转至下年度</w:t>
      </w:r>
      <w:r>
        <w:rPr>
          <w:rFonts w:hint="eastAsia" w:ascii="仿宋_GB2312" w:hAnsi="ˎ̥" w:eastAsia="仿宋_GB2312" w:cs="仿宋_GB2312"/>
          <w:kern w:val="0"/>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2" w:name="_Toc17398_WPSOffice_Level2"/>
      <w:bookmarkStart w:id="73" w:name="_Toc13694_WPSOffice_Level2"/>
      <w:bookmarkStart w:id="74" w:name="_Toc21737_WPSOffice_Level2"/>
      <w:bookmarkStart w:id="75" w:name="_Toc23005_WPSOffice_Level2"/>
      <w:bookmarkStart w:id="76" w:name="_Toc9989_WPSOffice_Level2"/>
      <w:bookmarkStart w:id="77" w:name="_Toc1966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2"/>
      <w:bookmarkEnd w:id="73"/>
      <w:r>
        <w:rPr>
          <w:rFonts w:hint="eastAsia" w:ascii="楷体" w:hAnsi="楷体" w:eastAsia="楷体" w:cs="楷体"/>
          <w:sz w:val="32"/>
          <w:szCs w:val="32"/>
          <w:lang w:eastAsia="zh-CN"/>
        </w:rPr>
        <w:t>。</w:t>
      </w:r>
      <w:bookmarkEnd w:id="74"/>
      <w:bookmarkEnd w:id="75"/>
      <w:bookmarkEnd w:id="76"/>
      <w:bookmarkEnd w:id="77"/>
    </w:p>
    <w:p>
      <w:pPr>
        <w:autoSpaceDE w:val="0"/>
        <w:adjustRightInd w:val="0"/>
        <w:snapToGrid w:val="0"/>
        <w:spacing w:line="576"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236.55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89.48</w:t>
      </w:r>
      <w:r>
        <w:rPr>
          <w:rFonts w:hint="eastAsia" w:ascii="仿宋_GB2312" w:hAnsi="ˎ̥" w:eastAsia="仿宋_GB2312"/>
          <w:sz w:val="32"/>
          <w:szCs w:val="32"/>
        </w:rPr>
        <w:t>万元，</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61</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中央级专项资金增加</w:t>
      </w:r>
      <w:r>
        <w:rPr>
          <w:rFonts w:hint="eastAsia" w:ascii="仿宋_GB2312" w:hAnsi="ˎ̥" w:eastAsia="仿宋_GB2312" w:cs="仿宋_GB2312"/>
          <w:kern w:val="0"/>
          <w:sz w:val="32"/>
          <w:szCs w:val="32"/>
        </w:rPr>
        <w:t>。</w:t>
      </w:r>
    </w:p>
    <w:p>
      <w:pPr>
        <w:ind w:firstLine="640" w:firstLineChars="200"/>
        <w:rPr>
          <w:rFonts w:hint="eastAsia" w:ascii="楷体" w:hAnsi="楷体" w:eastAsia="楷体" w:cs="楷体"/>
          <w:sz w:val="32"/>
          <w:szCs w:val="32"/>
          <w:lang w:eastAsia="zh-CN"/>
        </w:rPr>
      </w:pPr>
      <w:bookmarkStart w:id="78" w:name="_Toc18793_WPSOffice_Level2"/>
      <w:bookmarkStart w:id="79" w:name="_Toc2711_WPSOffice_Level2"/>
      <w:bookmarkStart w:id="80" w:name="_Toc19535_WPSOffice_Level2"/>
      <w:bookmarkStart w:id="81" w:name="_Toc19075_WPSOffice_Level2"/>
      <w:bookmarkStart w:id="82" w:name="_Toc23864_WPSOffice_Level2"/>
      <w:bookmarkStart w:id="83"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78"/>
      <w:bookmarkEnd w:id="79"/>
      <w:r>
        <w:rPr>
          <w:rFonts w:hint="eastAsia" w:ascii="楷体" w:hAnsi="楷体" w:eastAsia="楷体" w:cs="楷体"/>
          <w:sz w:val="32"/>
          <w:szCs w:val="32"/>
          <w:lang w:eastAsia="zh-CN"/>
        </w:rPr>
        <w:t>。</w:t>
      </w:r>
      <w:bookmarkEnd w:id="80"/>
      <w:bookmarkEnd w:id="81"/>
      <w:bookmarkEnd w:id="82"/>
      <w:bookmarkEnd w:id="83"/>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一般公共预算财政拨款支出</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rPr>
        <w:t>万元，主要用于以下方面：</w:t>
      </w:r>
      <w:r>
        <w:rPr>
          <w:rFonts w:hint="eastAsia" w:ascii="仿宋_GB2312" w:hAnsi="??" w:eastAsia="仿宋_GB2312"/>
          <w:b/>
          <w:sz w:val="32"/>
          <w:szCs w:val="32"/>
          <w:highlight w:val="none"/>
        </w:rPr>
        <w:t>文化旅游体育与传媒支出</w:t>
      </w:r>
      <w:r>
        <w:rPr>
          <w:rFonts w:hint="eastAsia" w:ascii="仿宋_GB2312" w:hAnsi="ˎ̥" w:eastAsia="仿宋_GB2312"/>
          <w:b/>
          <w:sz w:val="32"/>
          <w:szCs w:val="32"/>
          <w:highlight w:val="none"/>
        </w:rPr>
        <w:t>（类）</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216.22</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91</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社会保障和就业（类）</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6.43</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3</w:t>
      </w:r>
      <w:r>
        <w:rPr>
          <w:rFonts w:hint="eastAsia" w:ascii="仿宋_GB2312" w:hAnsi="ˎ̥" w:eastAsia="仿宋_GB2312"/>
          <w:sz w:val="32"/>
          <w:szCs w:val="32"/>
          <w:highlight w:val="none"/>
        </w:rPr>
        <w:t>%；</w:t>
      </w:r>
      <w:r>
        <w:rPr>
          <w:rFonts w:hint="eastAsia" w:ascii="仿宋_GB2312" w:hAnsi="??" w:eastAsia="仿宋_GB2312"/>
          <w:b/>
          <w:bCs/>
          <w:sz w:val="32"/>
          <w:szCs w:val="32"/>
          <w:highlight w:val="none"/>
        </w:rPr>
        <w:t>卫生健康支出（类）</w:t>
      </w:r>
      <w:r>
        <w:rPr>
          <w:rFonts w:hint="eastAsia" w:ascii="仿宋_GB2312" w:hAnsi="??" w:eastAsia="仿宋_GB2312"/>
          <w:b w:val="0"/>
          <w:bCs w:val="0"/>
          <w:sz w:val="32"/>
          <w:szCs w:val="32"/>
          <w:highlight w:val="none"/>
          <w:lang w:eastAsia="zh-CN"/>
        </w:rPr>
        <w:t>支出</w:t>
      </w:r>
      <w:r>
        <w:rPr>
          <w:rFonts w:hint="eastAsia" w:ascii="仿宋_GB2312" w:hAnsi="??" w:eastAsia="仿宋_GB2312"/>
          <w:b w:val="0"/>
          <w:bCs w:val="0"/>
          <w:sz w:val="32"/>
          <w:szCs w:val="32"/>
          <w:highlight w:val="none"/>
          <w:lang w:val="en-US" w:eastAsia="zh-CN"/>
        </w:rPr>
        <w:t>8.76万元</w:t>
      </w:r>
      <w:r>
        <w:rPr>
          <w:rFonts w:hint="eastAsia" w:ascii="仿宋_GB2312" w:hAnsi="??" w:eastAsia="仿宋_GB2312"/>
          <w:b/>
          <w:bCs/>
          <w:sz w:val="32"/>
          <w:szCs w:val="32"/>
          <w:highlight w:val="none"/>
          <w:lang w:val="en-US" w:eastAsia="zh-CN"/>
        </w:rPr>
        <w:t>，</w:t>
      </w:r>
      <w:r>
        <w:rPr>
          <w:rFonts w:hint="eastAsia" w:ascii="仿宋_GB2312" w:hAnsi="??" w:eastAsia="仿宋_GB2312"/>
          <w:b w:val="0"/>
          <w:bCs w:val="0"/>
          <w:sz w:val="32"/>
          <w:szCs w:val="32"/>
          <w:highlight w:val="none"/>
          <w:lang w:val="en-US" w:eastAsia="zh-CN"/>
        </w:rPr>
        <w:t>占</w:t>
      </w:r>
      <w:r>
        <w:rPr>
          <w:rFonts w:hint="eastAsia" w:ascii="仿宋_GB2312" w:hAnsi="ˎ̥" w:eastAsia="仿宋_GB2312"/>
          <w:b w:val="0"/>
          <w:bCs w:val="0"/>
          <w:sz w:val="32"/>
          <w:szCs w:val="32"/>
          <w:highlight w:val="none"/>
          <w:lang w:val="en-US" w:eastAsia="zh-CN"/>
        </w:rPr>
        <w:t>4</w:t>
      </w:r>
      <w:r>
        <w:rPr>
          <w:rFonts w:hint="eastAsia" w:ascii="仿宋_GB2312" w:hAnsi="ˎ̥" w:eastAsia="仿宋_GB2312"/>
          <w:sz w:val="32"/>
          <w:szCs w:val="32"/>
          <w:highlight w:val="none"/>
        </w:rPr>
        <w:t>%；</w:t>
      </w:r>
      <w:r>
        <w:rPr>
          <w:rFonts w:hint="eastAsia" w:ascii="仿宋_GB2312" w:hAnsi="ˎ̥" w:eastAsia="仿宋_GB2312"/>
          <w:b/>
          <w:bCs/>
          <w:sz w:val="32"/>
          <w:szCs w:val="32"/>
          <w:highlight w:val="none"/>
          <w:lang w:val="en-US" w:eastAsia="zh-CN"/>
        </w:rPr>
        <w:t>住房保障（类）</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5.14</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rPr>
      </w:pPr>
      <w:bookmarkStart w:id="84" w:name="_Toc25136_WPSOffice_Level2"/>
      <w:bookmarkStart w:id="85" w:name="_Toc29364_WPSOffice_Level2"/>
      <w:bookmarkStart w:id="86" w:name="_Toc22318_WPSOffice_Level2"/>
      <w:bookmarkStart w:id="87" w:name="_Toc15415_WPSOffice_Level2"/>
      <w:bookmarkStart w:id="88" w:name="_Toc9502_WPSOffice_Level2"/>
      <w:bookmarkStart w:id="89"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4"/>
      <w:bookmarkEnd w:id="85"/>
      <w:bookmarkEnd w:id="86"/>
      <w:bookmarkEnd w:id="87"/>
      <w:bookmarkEnd w:id="88"/>
      <w:bookmarkEnd w:id="89"/>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highlight w:val="none"/>
          <w:lang w:val="en-US" w:eastAsia="zh-CN"/>
        </w:rPr>
        <w:t>350.31</w:t>
      </w:r>
      <w:r>
        <w:rPr>
          <w:rFonts w:hint="eastAsia" w:ascii="仿宋_GB2312" w:hAnsi="ˎ̥" w:eastAsia="仿宋_GB2312"/>
          <w:sz w:val="32"/>
          <w:szCs w:val="32"/>
          <w:highlight w:val="none"/>
        </w:rPr>
        <w:t>万</w:t>
      </w:r>
      <w:r>
        <w:rPr>
          <w:rFonts w:hint="eastAsia" w:ascii="仿宋_GB2312" w:hAnsi="ˎ̥" w:eastAsia="仿宋_GB2312"/>
          <w:sz w:val="32"/>
          <w:szCs w:val="32"/>
        </w:rPr>
        <w:t>元，支出决算</w:t>
      </w:r>
      <w:r>
        <w:rPr>
          <w:rFonts w:hint="eastAsia" w:ascii="仿宋_GB2312" w:hAnsi="ˎ̥" w:eastAsia="仿宋_GB2312"/>
          <w:sz w:val="32"/>
          <w:szCs w:val="32"/>
          <w:highlight w:val="none"/>
        </w:rPr>
        <w:t>为</w:t>
      </w:r>
      <w:r>
        <w:rPr>
          <w:rFonts w:hint="eastAsia" w:ascii="仿宋_GB2312" w:hAnsi="ˎ̥" w:eastAsia="仿宋_GB2312"/>
          <w:sz w:val="32"/>
          <w:szCs w:val="32"/>
          <w:highlight w:val="none"/>
          <w:lang w:val="en-US" w:eastAsia="zh-CN"/>
        </w:rPr>
        <w:t>236.55</w:t>
      </w:r>
      <w:r>
        <w:rPr>
          <w:rFonts w:hint="eastAsia" w:ascii="仿宋_GB2312" w:hAnsi="ˎ̥" w:eastAsia="仿宋_GB2312"/>
          <w:sz w:val="32"/>
          <w:szCs w:val="32"/>
          <w:highlight w:val="none"/>
        </w:rPr>
        <w:t>万元，</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68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其中：</w:t>
      </w:r>
    </w:p>
    <w:p>
      <w:pPr>
        <w:numPr>
          <w:ilvl w:val="-1"/>
          <w:numId w:val="0"/>
        </w:numPr>
        <w:ind w:firstLine="0" w:firstLineChars="0"/>
        <w:rPr>
          <w:rFonts w:hint="eastAsia" w:ascii="仿宋_GB2312" w:hAnsi="??" w:eastAsia="仿宋_GB2312"/>
          <w:b/>
          <w:sz w:val="32"/>
          <w:szCs w:val="32"/>
          <w:highlight w:val="none"/>
        </w:rPr>
      </w:pPr>
      <w:r>
        <w:rPr>
          <w:rFonts w:hint="eastAsia" w:ascii="仿宋_GB2312" w:hAnsi="ˎ̥" w:eastAsia="仿宋_GB2312"/>
          <w:sz w:val="32"/>
          <w:szCs w:val="32"/>
          <w:lang w:val="en-US" w:eastAsia="zh-CN"/>
        </w:rPr>
        <w:t xml:space="preserve">    </w:t>
      </w:r>
      <w:r>
        <w:rPr>
          <w:rFonts w:hint="eastAsia" w:ascii="仿宋_GB2312" w:hAnsi="ˎ̥" w:eastAsia="仿宋_GB2312"/>
          <w:b/>
          <w:bCs/>
          <w:sz w:val="32"/>
          <w:szCs w:val="32"/>
          <w:lang w:val="en-US" w:eastAsia="zh-CN"/>
        </w:rPr>
        <w:t>1.</w:t>
      </w:r>
      <w:r>
        <w:rPr>
          <w:rFonts w:hint="eastAsia" w:ascii="仿宋_GB2312" w:hAnsi="??" w:eastAsia="仿宋_GB2312"/>
          <w:b/>
          <w:bCs/>
          <w:sz w:val="32"/>
          <w:szCs w:val="32"/>
          <w:highlight w:val="none"/>
        </w:rPr>
        <w:t>文</w:t>
      </w:r>
      <w:r>
        <w:rPr>
          <w:rFonts w:hint="eastAsia" w:ascii="仿宋_GB2312" w:hAnsi="??" w:eastAsia="仿宋_GB2312"/>
          <w:b/>
          <w:sz w:val="32"/>
          <w:szCs w:val="32"/>
          <w:highlight w:val="none"/>
        </w:rPr>
        <w:t>化旅游体育与传媒支出（类）</w:t>
      </w:r>
      <w:r>
        <w:rPr>
          <w:rFonts w:hint="eastAsia" w:ascii="仿宋_GB2312" w:hAnsi="??" w:eastAsia="仿宋_GB2312"/>
          <w:b/>
          <w:sz w:val="32"/>
          <w:szCs w:val="32"/>
          <w:highlight w:val="none"/>
          <w:lang w:val="en-US" w:eastAsia="zh-CN"/>
        </w:rPr>
        <w:t>文物</w:t>
      </w:r>
      <w:r>
        <w:rPr>
          <w:rFonts w:hint="eastAsia" w:ascii="仿宋_GB2312" w:hAnsi="??" w:eastAsia="仿宋_GB2312"/>
          <w:b/>
          <w:sz w:val="32"/>
          <w:szCs w:val="32"/>
          <w:highlight w:val="none"/>
        </w:rPr>
        <w:t>（款）</w:t>
      </w:r>
      <w:r>
        <w:rPr>
          <w:rFonts w:hint="eastAsia" w:ascii="仿宋_GB2312" w:hAnsi="??" w:eastAsia="仿宋_GB2312"/>
          <w:b/>
          <w:sz w:val="32"/>
          <w:szCs w:val="32"/>
          <w:highlight w:val="none"/>
          <w:lang w:val="en-US" w:eastAsia="zh-CN"/>
        </w:rPr>
        <w:t>博物馆</w:t>
      </w:r>
      <w:r>
        <w:rPr>
          <w:rFonts w:hint="eastAsia" w:ascii="仿宋_GB2312" w:hAnsi="??" w:eastAsia="仿宋_GB2312"/>
          <w:b/>
          <w:sz w:val="32"/>
          <w:szCs w:val="32"/>
          <w:highlight w:val="none"/>
        </w:rPr>
        <w:t>（</w:t>
      </w:r>
      <w:r>
        <w:rPr>
          <w:rFonts w:hint="eastAsia" w:ascii="仿宋_GB2312" w:hAnsi="??" w:eastAsia="仿宋_GB2312"/>
          <w:b/>
          <w:sz w:val="32"/>
          <w:szCs w:val="32"/>
          <w:highlight w:val="none"/>
          <w:lang w:val="en-US" w:eastAsia="zh-CN"/>
        </w:rPr>
        <w:t>项</w:t>
      </w:r>
      <w:r>
        <w:rPr>
          <w:rFonts w:hint="eastAsia" w:ascii="仿宋_GB2312" w:hAnsi="??" w:eastAsia="仿宋_GB2312"/>
          <w:b/>
          <w:sz w:val="32"/>
          <w:szCs w:val="32"/>
          <w:highlight w:val="none"/>
        </w:rPr>
        <w:t>）</w:t>
      </w:r>
    </w:p>
    <w:p>
      <w:pPr>
        <w:numPr>
          <w:ilvl w:val="-1"/>
          <w:numId w:val="0"/>
        </w:numPr>
        <w:ind w:firstLine="0" w:firstLineChars="0"/>
        <w:rPr>
          <w:rFonts w:hint="eastAsia" w:ascii="仿宋_GB2312" w:hAnsi="??" w:eastAsia="仿宋_GB2312"/>
          <w:b/>
          <w:sz w:val="32"/>
          <w:szCs w:val="32"/>
          <w:highlight w:val="none"/>
          <w:lang w:val="en-US" w:eastAsia="zh-CN"/>
        </w:rPr>
      </w:pPr>
      <w:r>
        <w:rPr>
          <w:rFonts w:hint="eastAsia" w:ascii="仿宋_GB2312" w:hAnsi="??" w:eastAsia="仿宋_GB2312"/>
          <w:b/>
          <w:sz w:val="32"/>
          <w:szCs w:val="32"/>
          <w:highlight w:val="none"/>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331.01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216.22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65</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s="仿宋_GB2312"/>
          <w:kern w:val="0"/>
          <w:sz w:val="32"/>
          <w:szCs w:val="32"/>
          <w:lang w:eastAsia="zh-CN"/>
        </w:rPr>
        <w:t>是项目支出和基本支出结余</w:t>
      </w:r>
      <w:r>
        <w:rPr>
          <w:rFonts w:hint="eastAsia" w:ascii="仿宋_GB2312" w:hAnsi="ˎ̥" w:eastAsia="仿宋_GB2312" w:cs="仿宋_GB2312"/>
          <w:kern w:val="0"/>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 w:eastAsia="仿宋_GB2312"/>
          <w:b/>
          <w:sz w:val="32"/>
          <w:szCs w:val="32"/>
          <w:highlight w:val="none"/>
        </w:rPr>
      </w:pPr>
      <w:r>
        <w:rPr>
          <w:rFonts w:hint="eastAsia" w:ascii="仿宋_GB2312" w:hAnsi="??" w:eastAsia="仿宋_GB2312"/>
          <w:b/>
          <w:sz w:val="32"/>
          <w:szCs w:val="32"/>
          <w:highlight w:val="none"/>
          <w:lang w:val="en-US" w:eastAsia="zh-CN"/>
        </w:rPr>
        <w:t xml:space="preserve">    2.</w:t>
      </w:r>
      <w:r>
        <w:rPr>
          <w:rFonts w:hint="eastAsia" w:ascii="仿宋_GB2312" w:hAnsi="??" w:eastAsia="仿宋_GB2312"/>
          <w:b/>
          <w:sz w:val="32"/>
          <w:szCs w:val="32"/>
          <w:highlight w:val="none"/>
        </w:rPr>
        <w:t>社会保障和就业支出（类）行政事业单位养老支出（款）机关事业单位养老保险缴费支出（项）</w:t>
      </w:r>
    </w:p>
    <w:p>
      <w:pPr>
        <w:numPr>
          <w:ilvl w:val="-1"/>
          <w:numId w:val="0"/>
        </w:numPr>
        <w:ind w:firstLine="0" w:firstLineChars="0"/>
        <w:rPr>
          <w:rFonts w:hint="eastAsia" w:ascii="仿宋_GB2312" w:hAnsi="ˎ̥" w:eastAsia="仿宋_GB2312" w:cs="仿宋_GB2312"/>
          <w:kern w:val="0"/>
          <w:sz w:val="32"/>
          <w:szCs w:val="32"/>
          <w:lang w:eastAsia="zh-CN"/>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5.08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s="仿宋_GB2312"/>
          <w:kern w:val="0"/>
          <w:sz w:val="32"/>
          <w:szCs w:val="32"/>
          <w:lang w:eastAsia="zh-CN"/>
        </w:rPr>
        <w:t>是机关事业单位养老保险有结余</w:t>
      </w:r>
      <w:r>
        <w:rPr>
          <w:rFonts w:hint="eastAsia" w:ascii="仿宋_GB2312" w:hAnsi="ˎ̥" w:eastAsia="仿宋_GB2312" w:cs="仿宋_GB2312"/>
          <w:kern w:val="0"/>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642" w:firstLineChars="0"/>
        <w:jc w:val="both"/>
        <w:textAlignment w:val="auto"/>
        <w:outlineLvl w:val="9"/>
        <w:rPr>
          <w:rFonts w:hint="eastAsia" w:ascii="仿宋_GB2312" w:hAnsi="??" w:eastAsia="仿宋_GB2312"/>
          <w:b/>
          <w:sz w:val="32"/>
          <w:szCs w:val="32"/>
          <w:highlight w:val="none"/>
        </w:rPr>
      </w:pPr>
      <w:r>
        <w:rPr>
          <w:rFonts w:hint="eastAsia" w:ascii="仿宋_GB2312" w:hAnsi="??" w:eastAsia="仿宋_GB2312"/>
          <w:b/>
          <w:sz w:val="32"/>
          <w:szCs w:val="32"/>
          <w:highlight w:val="none"/>
          <w:lang w:val="en-US" w:eastAsia="zh-CN"/>
        </w:rPr>
        <w:t>3.</w:t>
      </w:r>
      <w:r>
        <w:rPr>
          <w:rFonts w:hint="eastAsia" w:ascii="仿宋_GB2312" w:hAnsi="??" w:eastAsia="仿宋_GB2312"/>
          <w:b/>
          <w:sz w:val="32"/>
          <w:szCs w:val="32"/>
          <w:highlight w:val="none"/>
        </w:rPr>
        <w:t>社会保障和就业支出（类）行政事业单位养老支出（款）机关事业单位</w:t>
      </w:r>
      <w:r>
        <w:rPr>
          <w:rFonts w:hint="eastAsia" w:ascii="仿宋_GB2312" w:hAnsi="??" w:eastAsia="仿宋_GB2312"/>
          <w:b/>
          <w:sz w:val="32"/>
          <w:szCs w:val="32"/>
          <w:highlight w:val="none"/>
          <w:lang w:eastAsia="zh-CN"/>
        </w:rPr>
        <w:t>职业年金</w:t>
      </w:r>
      <w:r>
        <w:rPr>
          <w:rFonts w:hint="eastAsia" w:ascii="仿宋_GB2312" w:hAnsi="??" w:eastAsia="仿宋_GB2312"/>
          <w:b/>
          <w:sz w:val="32"/>
          <w:szCs w:val="32"/>
          <w:highlight w:val="none"/>
        </w:rPr>
        <w:t>缴费支出（项）</w:t>
      </w:r>
    </w:p>
    <w:p>
      <w:pPr>
        <w:numPr>
          <w:ilvl w:val="-1"/>
          <w:numId w:val="0"/>
        </w:numPr>
        <w:ind w:firstLine="642" w:firstLineChars="0"/>
        <w:rPr>
          <w:rFonts w:hint="eastAsia" w:ascii="仿宋_GB2312" w:hAnsi="ˎ̥" w:eastAsia="仿宋_GB2312" w:cs="仿宋_GB2312"/>
          <w:kern w:val="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1.35</w:t>
      </w:r>
      <w:r>
        <w:rPr>
          <w:rFonts w:hint="eastAsia" w:ascii="仿宋_GB2312" w:hAnsi="ˎ̥" w:eastAsia="仿宋_GB2312"/>
          <w:sz w:val="32"/>
          <w:szCs w:val="32"/>
        </w:rPr>
        <w:t>万元，决算数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cs="仿宋_GB2312"/>
          <w:kern w:val="0"/>
          <w:sz w:val="32"/>
          <w:szCs w:val="32"/>
          <w:lang w:eastAsia="zh-CN"/>
        </w:rPr>
        <w:t>是新增职业年金支出</w:t>
      </w:r>
      <w:r>
        <w:rPr>
          <w:rFonts w:hint="eastAsia" w:ascii="仿宋_GB2312" w:hAnsi="ˎ̥"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 w:eastAsia="仿宋_GB2312"/>
          <w:b/>
          <w:bCs/>
          <w:sz w:val="32"/>
          <w:szCs w:val="32"/>
          <w:highlight w:val="none"/>
        </w:rPr>
      </w:pPr>
      <w:r>
        <w:rPr>
          <w:rFonts w:hint="eastAsia" w:ascii="仿宋_GB2312" w:hAnsi="??" w:eastAsia="仿宋_GB2312"/>
          <w:b/>
          <w:bCs/>
          <w:sz w:val="32"/>
          <w:szCs w:val="32"/>
          <w:highlight w:val="none"/>
          <w:lang w:val="en-US" w:eastAsia="zh-CN"/>
        </w:rPr>
        <w:t>4</w:t>
      </w:r>
      <w:r>
        <w:rPr>
          <w:rFonts w:ascii="仿宋_GB2312" w:hAnsi="??" w:eastAsia="仿宋_GB2312"/>
          <w:b/>
          <w:bCs/>
          <w:sz w:val="32"/>
          <w:szCs w:val="32"/>
          <w:highlight w:val="none"/>
        </w:rPr>
        <w:t>.</w:t>
      </w:r>
      <w:r>
        <w:rPr>
          <w:rFonts w:hint="eastAsia" w:ascii="仿宋_GB2312" w:hAnsi="??" w:eastAsia="仿宋_GB2312"/>
          <w:b/>
          <w:bCs/>
          <w:sz w:val="32"/>
          <w:szCs w:val="32"/>
          <w:highlight w:val="none"/>
        </w:rPr>
        <w:t>卫生健康支出（类）行政事业单位医疗（款）事业单位医疗（项）</w:t>
      </w:r>
    </w:p>
    <w:p>
      <w:pPr>
        <w:numPr>
          <w:ilvl w:val="-1"/>
          <w:numId w:val="0"/>
        </w:numPr>
        <w:ind w:firstLine="0" w:firstLineChars="0"/>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bookmarkStart w:id="114" w:name="_GoBack"/>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2.75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2.24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s="仿宋_GB2312"/>
          <w:kern w:val="0"/>
          <w:sz w:val="32"/>
          <w:szCs w:val="32"/>
          <w:lang w:eastAsia="zh-CN"/>
        </w:rPr>
        <w:t>是事业单位医疗支出有结余</w:t>
      </w:r>
      <w:r>
        <w:rPr>
          <w:rFonts w:hint="eastAsia" w:ascii="仿宋_GB2312" w:hAnsi="ˎ̥" w:eastAsia="仿宋_GB2312" w:cs="仿宋_GB2312"/>
          <w:kern w:val="0"/>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 w:eastAsia="仿宋_GB2312"/>
          <w:b/>
          <w:bCs/>
          <w:sz w:val="32"/>
          <w:szCs w:val="32"/>
          <w:highlight w:val="none"/>
        </w:rPr>
      </w:pPr>
      <w:r>
        <w:rPr>
          <w:rFonts w:hint="eastAsia" w:ascii="仿宋_GB2312" w:hAnsi="??" w:eastAsia="仿宋_GB2312"/>
          <w:b/>
          <w:bCs/>
          <w:sz w:val="32"/>
          <w:szCs w:val="32"/>
          <w:highlight w:val="none"/>
          <w:lang w:val="en-US" w:eastAsia="zh-CN"/>
        </w:rPr>
        <w:t xml:space="preserve">    5.</w:t>
      </w:r>
      <w:r>
        <w:rPr>
          <w:rFonts w:hint="eastAsia" w:ascii="仿宋_GB2312" w:hAnsi="??" w:eastAsia="仿宋_GB2312"/>
          <w:b/>
          <w:bCs/>
          <w:sz w:val="32"/>
          <w:szCs w:val="32"/>
          <w:highlight w:val="none"/>
        </w:rPr>
        <w:t>卫生健康支出（类）行政事业单位医疗（款）</w:t>
      </w:r>
      <w:r>
        <w:rPr>
          <w:rFonts w:hint="eastAsia" w:ascii="仿宋_GB2312" w:hAnsi="??" w:eastAsia="仿宋_GB2312"/>
          <w:b/>
          <w:bCs/>
          <w:sz w:val="32"/>
          <w:szCs w:val="32"/>
          <w:highlight w:val="none"/>
          <w:lang w:val="en-US" w:eastAsia="zh-CN"/>
        </w:rPr>
        <w:t>公务员医疗补助</w:t>
      </w:r>
      <w:r>
        <w:rPr>
          <w:rFonts w:hint="eastAsia" w:ascii="仿宋_GB2312" w:hAnsi="??" w:eastAsia="仿宋_GB2312"/>
          <w:b/>
          <w:bCs/>
          <w:sz w:val="32"/>
          <w:szCs w:val="32"/>
          <w:highlight w:val="none"/>
        </w:rPr>
        <w:t>（项）</w:t>
      </w:r>
    </w:p>
    <w:p>
      <w:pPr>
        <w:numPr>
          <w:ilvl w:val="-1"/>
          <w:numId w:val="0"/>
        </w:numPr>
        <w:ind w:firstLine="0" w:firstLineChars="0"/>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7.32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6.52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89</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s="仿宋_GB2312"/>
          <w:kern w:val="0"/>
          <w:sz w:val="32"/>
          <w:szCs w:val="32"/>
          <w:lang w:eastAsia="zh-CN"/>
        </w:rPr>
        <w:t>是公务员医疗补助支出有结余</w:t>
      </w:r>
      <w:r>
        <w:rPr>
          <w:rFonts w:hint="eastAsia" w:ascii="仿宋_GB2312" w:hAnsi="ˎ̥" w:eastAsia="仿宋_GB2312" w:cs="仿宋_GB2312"/>
          <w:kern w:val="0"/>
          <w:sz w:val="32"/>
          <w:szCs w:val="32"/>
        </w:rPr>
        <w:t>。</w:t>
      </w:r>
    </w:p>
    <w:bookmarkEnd w:id="114"/>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hAnsi="??" w:eastAsia="仿宋_GB2312"/>
          <w:sz w:val="32"/>
          <w:szCs w:val="32"/>
          <w:highlight w:val="none"/>
        </w:rPr>
      </w:pPr>
      <w:r>
        <w:rPr>
          <w:rFonts w:hint="eastAsia" w:ascii="仿宋_GB2312" w:hAnsi="??" w:eastAsia="仿宋_GB2312"/>
          <w:b/>
          <w:bCs/>
          <w:sz w:val="32"/>
          <w:szCs w:val="32"/>
          <w:highlight w:val="none"/>
          <w:lang w:val="en-US" w:eastAsia="zh-CN"/>
        </w:rPr>
        <w:t xml:space="preserve">    6</w:t>
      </w:r>
      <w:r>
        <w:rPr>
          <w:rFonts w:ascii="仿宋_GB2312" w:hAnsi="??" w:eastAsia="仿宋_GB2312"/>
          <w:sz w:val="32"/>
          <w:szCs w:val="32"/>
          <w:highlight w:val="none"/>
        </w:rPr>
        <w:t>.</w:t>
      </w:r>
      <w:r>
        <w:rPr>
          <w:rFonts w:hint="eastAsia" w:ascii="仿宋_GB2312" w:hAnsi="??" w:eastAsia="仿宋_GB2312"/>
          <w:b/>
          <w:bCs/>
          <w:sz w:val="32"/>
          <w:szCs w:val="32"/>
          <w:highlight w:val="none"/>
        </w:rPr>
        <w:t>住房保障支出（类）住房改革支出（款）住房公积金（项）</w:t>
      </w:r>
      <w:r>
        <w:rPr>
          <w:rFonts w:ascii="仿宋_GB2312" w:hAnsi="??"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ˎ̥" w:eastAsia="仿宋_GB2312"/>
          <w:sz w:val="32"/>
          <w:szCs w:val="32"/>
          <w:lang w:val="en-US" w:eastAsia="zh-CN"/>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4.05</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5.14</w:t>
      </w:r>
      <w:r>
        <w:rPr>
          <w:rFonts w:hint="eastAsia" w:ascii="仿宋_GB2312" w:hAnsi="??" w:eastAsia="仿宋_GB2312"/>
          <w:sz w:val="32"/>
          <w:szCs w:val="32"/>
          <w:highlight w:val="none"/>
        </w:rPr>
        <w:t>万元，完成年初预算的</w:t>
      </w:r>
      <w:r>
        <w:rPr>
          <w:rFonts w:hint="eastAsia" w:ascii="仿宋_GB2312" w:hAnsi="??" w:eastAsia="仿宋_GB2312"/>
          <w:sz w:val="32"/>
          <w:szCs w:val="32"/>
          <w:highlight w:val="none"/>
          <w:lang w:val="en-US" w:eastAsia="zh-CN"/>
        </w:rPr>
        <w:t>127</w:t>
      </w:r>
      <w:r>
        <w:rPr>
          <w:rFonts w:ascii="仿宋_GB2312" w:hAnsi="??" w:eastAsia="仿宋_GB2312"/>
          <w:sz w:val="32"/>
          <w:szCs w:val="32"/>
          <w:highlight w:val="none"/>
        </w:rPr>
        <w:t>%</w:t>
      </w:r>
      <w:r>
        <w:rPr>
          <w:rFonts w:hint="eastAsia" w:ascii="仿宋_GB2312" w:hAnsi="??" w:eastAsia="仿宋_GB2312"/>
          <w:sz w:val="32"/>
          <w:szCs w:val="32"/>
          <w:highlight w:val="none"/>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是调资导致住房公积金支出增加。</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74.63</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70.36</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基本工资、津贴补贴、绩效工资、</w:t>
      </w:r>
      <w:r>
        <w:rPr>
          <w:rFonts w:hint="eastAsia" w:ascii="仿宋_GB2312" w:hAnsi="ˎ̥" w:eastAsia="仿宋_GB2312"/>
          <w:sz w:val="32"/>
          <w:szCs w:val="32"/>
          <w:lang w:eastAsia="zh-CN"/>
        </w:rPr>
        <w:t>机关事业单位基本养老保险缴费、职工基本医疗保险缴费、公务员医疗补助缴费、其他社会保障缴费、住房公积金、医疗费、</w:t>
      </w:r>
      <w:r>
        <w:rPr>
          <w:rFonts w:hint="eastAsia" w:ascii="仿宋_GB2312" w:hAnsi="ˎ̥" w:eastAsia="仿宋_GB2312"/>
          <w:sz w:val="32"/>
          <w:szCs w:val="32"/>
        </w:rPr>
        <w:t>其他工资福利</w:t>
      </w:r>
      <w:r>
        <w:rPr>
          <w:rFonts w:hint="eastAsia" w:ascii="仿宋_GB2312" w:hAnsi="ˎ̥" w:eastAsia="仿宋_GB2312"/>
          <w:sz w:val="32"/>
          <w:szCs w:val="32"/>
          <w:lang w:eastAsia="zh-CN"/>
        </w:rPr>
        <w:t>支出、对个人和家庭的补助中的</w:t>
      </w:r>
      <w:r>
        <w:rPr>
          <w:rFonts w:hint="eastAsia" w:ascii="仿宋_GB2312" w:hAnsi="ˎ̥" w:eastAsia="仿宋_GB2312"/>
          <w:sz w:val="32"/>
          <w:szCs w:val="32"/>
        </w:rPr>
        <w:t>奖励金。公用经费</w:t>
      </w:r>
      <w:r>
        <w:rPr>
          <w:rFonts w:hint="eastAsia" w:ascii="仿宋_GB2312" w:hAnsi="ˎ̥" w:eastAsia="仿宋_GB2312"/>
          <w:sz w:val="32"/>
          <w:szCs w:val="32"/>
          <w:lang w:val="en-US" w:eastAsia="zh-CN"/>
        </w:rPr>
        <w:t>4.27</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办公费、邮电费、培训费、工会经费、其他商品和服务支出。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3" w:firstLineChars="200"/>
        <w:rPr>
          <w:rFonts w:hint="eastAsia" w:ascii="楷体" w:hAnsi="楷体" w:eastAsia="楷体" w:cs="楷体"/>
          <w:sz w:val="32"/>
          <w:szCs w:val="32"/>
          <w:highlight w:val="none"/>
          <w:lang w:eastAsia="zh-CN"/>
        </w:rPr>
      </w:pPr>
      <w:r>
        <w:rPr>
          <w:rFonts w:hint="eastAsia" w:ascii="楷体" w:hAnsi="楷体" w:eastAsia="楷体" w:cs="楷体"/>
          <w:b/>
          <w:bCs/>
          <w:sz w:val="32"/>
          <w:szCs w:val="32"/>
          <w:highlight w:val="none"/>
          <w:lang w:val="en-US" w:eastAsia="zh-CN"/>
        </w:rPr>
        <w:t>（一）</w:t>
      </w:r>
      <w:r>
        <w:rPr>
          <w:rFonts w:hint="eastAsia" w:ascii="楷体" w:hAnsi="楷体" w:eastAsia="楷体" w:cs="楷体"/>
          <w:b/>
          <w:bCs/>
          <w:sz w:val="32"/>
          <w:szCs w:val="32"/>
          <w:highlight w:val="none"/>
          <w:lang w:eastAsia="zh-CN"/>
        </w:rPr>
        <w:t>政府性基金</w:t>
      </w:r>
      <w:r>
        <w:rPr>
          <w:rFonts w:hint="eastAsia" w:ascii="楷体" w:hAnsi="楷体" w:eastAsia="楷体" w:cs="楷体"/>
          <w:b/>
          <w:bCs/>
          <w:sz w:val="32"/>
          <w:szCs w:val="32"/>
          <w:highlight w:val="none"/>
        </w:rPr>
        <w:t>预算财政拨款支出决算总体情况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val="en-US" w:eastAsia="zh-CN"/>
        </w:rPr>
        <w:t xml:space="preserve"> </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万元，占本年支出合计的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政府性基金预算</w:t>
      </w:r>
      <w:r>
        <w:rPr>
          <w:rFonts w:hint="eastAsia" w:ascii="仿宋_GB2312" w:hAnsi="ˎ̥" w:eastAsia="仿宋_GB2312"/>
          <w:sz w:val="32"/>
          <w:szCs w:val="32"/>
          <w:highlight w:val="none"/>
        </w:rPr>
        <w:t>财政拨款支出增加</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万元，增长</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（二）政府性基金预算</w:t>
      </w:r>
      <w:r>
        <w:rPr>
          <w:rFonts w:hint="eastAsia" w:ascii="楷体" w:hAnsi="楷体" w:eastAsia="楷体" w:cs="楷体"/>
          <w:b/>
          <w:bCs/>
          <w:sz w:val="32"/>
          <w:szCs w:val="32"/>
          <w:highlight w:val="none"/>
        </w:rPr>
        <w:t>财政拨款支出决算结构情况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default" w:ascii="仿宋_GB2312" w:hAnsi="ˎ̥" w:eastAsia="仿宋_GB2312"/>
          <w:sz w:val="32"/>
          <w:szCs w:val="32"/>
          <w:highlight w:val="none"/>
        </w:rPr>
        <w:t>0.00</w:t>
      </w:r>
      <w:r>
        <w:rPr>
          <w:rFonts w:hint="eastAsia" w:ascii="仿宋_GB2312" w:hAnsi="ˎ̥" w:eastAsia="仿宋_GB2312"/>
          <w:sz w:val="32"/>
          <w:szCs w:val="32"/>
          <w:highlight w:val="none"/>
        </w:rPr>
        <w:t>万元。</w:t>
      </w:r>
    </w:p>
    <w:p>
      <w:pPr>
        <w:ind w:firstLine="643" w:firstLineChars="200"/>
        <w:rPr>
          <w:rFonts w:hint="eastAsia" w:ascii="楷体" w:hAnsi="楷体" w:eastAsia="楷体" w:cs="楷体"/>
          <w:sz w:val="32"/>
          <w:szCs w:val="32"/>
          <w:highlight w:val="none"/>
        </w:rPr>
      </w:pPr>
      <w:r>
        <w:rPr>
          <w:rFonts w:hint="eastAsia" w:ascii="楷体" w:hAnsi="楷体" w:eastAsia="楷体" w:cs="楷体"/>
          <w:b/>
          <w:bCs/>
          <w:sz w:val="32"/>
          <w:szCs w:val="32"/>
          <w:highlight w:val="none"/>
          <w:lang w:val="en-US" w:eastAsia="zh-CN"/>
        </w:rPr>
        <w:t>（三）政府性基金预算</w:t>
      </w:r>
      <w:r>
        <w:rPr>
          <w:rFonts w:hint="eastAsia" w:ascii="楷体" w:hAnsi="楷体" w:eastAsia="楷体" w:cs="楷体"/>
          <w:b/>
          <w:bCs/>
          <w:sz w:val="32"/>
          <w:szCs w:val="32"/>
          <w:highlight w:val="none"/>
        </w:rPr>
        <w:t>财政拨款支出决算具体情况。</w:t>
      </w:r>
    </w:p>
    <w:p>
      <w:pPr>
        <w:tabs>
          <w:tab w:val="center" w:pos="4473"/>
        </w:tabs>
        <w:ind w:firstLine="640" w:firstLineChars="200"/>
        <w:rPr>
          <w:rFonts w:hint="eastAsia" w:ascii="仿宋_GB2312" w:hAnsi="ˎ̥" w:eastAsia="仿宋_GB2312" w:cs="Times New Roman"/>
          <w:bCs w:val="0"/>
          <w:sz w:val="32"/>
          <w:szCs w:val="32"/>
          <w:highlight w:val="none"/>
          <w:lang w:val="en-US"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年度政府性基金预算财政拨款</w:t>
      </w:r>
      <w:r>
        <w:rPr>
          <w:rFonts w:hint="eastAsia" w:ascii="仿宋_GB2312" w:hAnsi="ˎ̥" w:eastAsia="仿宋_GB2312"/>
          <w:sz w:val="32"/>
          <w:szCs w:val="32"/>
          <w:highlight w:val="none"/>
        </w:rPr>
        <w:t>支出年初预算为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万元，支出决算为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万元，完成年初预算的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（一）</w:t>
      </w:r>
      <w:r>
        <w:rPr>
          <w:rFonts w:hint="eastAsia" w:ascii="楷体" w:hAnsi="楷体" w:eastAsia="楷体" w:cs="楷体"/>
          <w:b/>
          <w:bCs/>
          <w:sz w:val="32"/>
          <w:szCs w:val="32"/>
          <w:highlight w:val="none"/>
          <w:lang w:eastAsia="zh-CN"/>
        </w:rPr>
        <w:t>国有资本经营预算</w:t>
      </w:r>
      <w:r>
        <w:rPr>
          <w:rFonts w:hint="eastAsia" w:ascii="楷体" w:hAnsi="楷体" w:eastAsia="楷体" w:cs="楷体"/>
          <w:b/>
          <w:bCs/>
          <w:sz w:val="32"/>
          <w:szCs w:val="32"/>
          <w:highlight w:val="none"/>
        </w:rPr>
        <w:t>财政拨款支出决算总体情况</w:t>
      </w:r>
      <w:r>
        <w:rPr>
          <w:rFonts w:hint="eastAsia" w:ascii="楷体" w:hAnsi="楷体" w:eastAsia="楷体" w:cs="楷体"/>
          <w:b/>
          <w:bCs/>
          <w:sz w:val="32"/>
          <w:szCs w:val="32"/>
          <w:highlight w:val="none"/>
          <w:lang w:eastAsia="zh-CN"/>
        </w:rPr>
        <w:t>。</w:t>
      </w:r>
    </w:p>
    <w:p>
      <w:pPr>
        <w:keepNext w:val="0"/>
        <w:keepLines w:val="0"/>
        <w:widowControl/>
        <w:suppressLineNumbers w:val="0"/>
        <w:spacing w:before="0" w:beforeAutospacing="0" w:after="0" w:afterAutospacing="0"/>
        <w:ind w:left="0" w:right="0" w:firstLine="640" w:firstLineChars="200"/>
        <w:jc w:val="left"/>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default" w:ascii="仿宋_GB2312" w:hAnsi="ˎ̥" w:eastAsia="仿宋_GB2312"/>
          <w:sz w:val="32"/>
          <w:szCs w:val="32"/>
          <w:highlight w:val="none"/>
        </w:rPr>
        <w:t>0.00</w:t>
      </w:r>
      <w:r>
        <w:rPr>
          <w:rFonts w:hint="eastAsia" w:ascii="仿宋_GB2312" w:hAnsi="ˎ̥" w:eastAsia="仿宋_GB2312"/>
          <w:sz w:val="32"/>
          <w:szCs w:val="32"/>
          <w:highlight w:val="none"/>
        </w:rPr>
        <w:t>万元，占本年支出合计的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国有资本经营预算</w:t>
      </w:r>
      <w:r>
        <w:rPr>
          <w:rFonts w:hint="eastAsia" w:ascii="仿宋_GB2312" w:hAnsi="ˎ̥" w:eastAsia="仿宋_GB2312"/>
          <w:sz w:val="32"/>
          <w:szCs w:val="32"/>
          <w:highlight w:val="none"/>
        </w:rPr>
        <w:t>财政拨款支出增加</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万元，增长</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（二）国有资本经营预算</w:t>
      </w:r>
      <w:r>
        <w:rPr>
          <w:rFonts w:hint="eastAsia" w:ascii="楷体" w:hAnsi="楷体" w:eastAsia="楷体" w:cs="楷体"/>
          <w:b/>
          <w:bCs/>
          <w:sz w:val="32"/>
          <w:szCs w:val="32"/>
          <w:highlight w:val="none"/>
        </w:rPr>
        <w:t>财政拨款支出决算结构情况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w:t>
      </w:r>
      <w:r>
        <w:rPr>
          <w:rFonts w:hint="default"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（三）国有资本经营预算</w:t>
      </w:r>
      <w:r>
        <w:rPr>
          <w:rFonts w:hint="eastAsia" w:ascii="楷体" w:hAnsi="楷体" w:eastAsia="楷体" w:cs="楷体"/>
          <w:b/>
          <w:bCs/>
          <w:sz w:val="32"/>
          <w:szCs w:val="32"/>
          <w:highlight w:val="none"/>
        </w:rPr>
        <w:t>财政拨款支出决算具体情况。</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年度国有资本经营预算财政拨款</w:t>
      </w:r>
      <w:r>
        <w:rPr>
          <w:rFonts w:hint="eastAsia" w:ascii="仿宋_GB2312" w:hAnsi="ˎ̥" w:eastAsia="仿宋_GB2312"/>
          <w:sz w:val="32"/>
          <w:szCs w:val="32"/>
          <w:highlight w:val="none"/>
        </w:rPr>
        <w:t>支出年初预算为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万元，支出决算为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万元，完成年初预算的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财政拨款“三公”经费支出决算情况说明</w:t>
      </w:r>
    </w:p>
    <w:p>
      <w:pPr>
        <w:rPr>
          <w:rFonts w:hint="eastAsia" w:ascii="楷体" w:hAnsi="楷体" w:eastAsia="楷体" w:cs="楷体"/>
          <w:sz w:val="32"/>
          <w:szCs w:val="32"/>
        </w:rPr>
      </w:pP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lang w:eastAsia="zh-CN"/>
        </w:rPr>
        <w:t>（一）</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，完成预算的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 w:eastAsia="仿宋_GB2312"/>
          <w:sz w:val="32"/>
          <w:szCs w:val="32"/>
        </w:rPr>
      </w:pPr>
      <w:r>
        <w:rPr>
          <w:rFonts w:ascii="仿宋_GB2312" w:hAnsi="??" w:eastAsia="仿宋_GB2312"/>
          <w:sz w:val="32"/>
          <w:szCs w:val="32"/>
        </w:rPr>
        <w:t>2</w:t>
      </w:r>
      <w:r>
        <w:rPr>
          <w:rFonts w:hint="eastAsia" w:ascii="仿宋_GB2312" w:hAnsi="??" w:eastAsia="仿宋_GB2312"/>
          <w:sz w:val="32"/>
          <w:szCs w:val="32"/>
        </w:rPr>
        <w:t>2022年度财政拨款“三公”经费支出决算中，因公出国（境）费支出决算0万元，占0%；公务用车购置及运行维护费支出决算</w:t>
      </w:r>
      <w:r>
        <w:rPr>
          <w:rFonts w:hint="eastAsia" w:ascii="仿宋_GB2312" w:hAnsi="??" w:eastAsia="仿宋_GB2312"/>
          <w:sz w:val="32"/>
          <w:szCs w:val="32"/>
          <w:lang w:val="en-US" w:eastAsia="zh-CN"/>
        </w:rPr>
        <w:t>0</w:t>
      </w:r>
      <w:r>
        <w:rPr>
          <w:rFonts w:hint="eastAsia" w:ascii="仿宋_GB2312" w:hAnsi="??" w:eastAsia="仿宋_GB2312"/>
          <w:sz w:val="32"/>
          <w:szCs w:val="32"/>
        </w:rPr>
        <w:t>万元，占0%；公务接待费支出决算0万元，占0%。具体情况如下：</w:t>
      </w:r>
    </w:p>
    <w:p>
      <w:pPr>
        <w:ind w:firstLine="640" w:firstLineChars="200"/>
        <w:rPr>
          <w:rFonts w:hint="eastAsia" w:ascii="仿宋_GB2312" w:hAnsi="??" w:eastAsia="仿宋_GB2312"/>
          <w:sz w:val="32"/>
          <w:szCs w:val="32"/>
          <w:lang w:eastAsia="zh-CN"/>
        </w:rPr>
      </w:pPr>
      <w:r>
        <w:rPr>
          <w:rFonts w:hint="eastAsia" w:ascii="仿宋_GB2312" w:hAnsi="??" w:eastAsia="仿宋_GB2312"/>
          <w:sz w:val="32"/>
          <w:szCs w:val="32"/>
        </w:rPr>
        <w:t>1.因公出国（境）费支出0万元。全年安排因公出国（境）团组0个，因公出国（境）0人次</w:t>
      </w:r>
      <w:r>
        <w:rPr>
          <w:rFonts w:hint="eastAsia" w:ascii="仿宋_GB2312" w:hAnsi="??" w:eastAsia="仿宋_GB2312"/>
          <w:sz w:val="32"/>
          <w:szCs w:val="32"/>
          <w:lang w:eastAsia="zh-CN"/>
        </w:rPr>
        <w:t>。</w:t>
      </w:r>
    </w:p>
    <w:p>
      <w:pPr>
        <w:ind w:firstLine="640" w:firstLineChars="200"/>
        <w:rPr>
          <w:rFonts w:hint="eastAsia" w:ascii="仿宋_GB2312" w:hAnsi="??" w:eastAsia="仿宋_GB2312"/>
          <w:sz w:val="32"/>
          <w:szCs w:val="32"/>
        </w:rPr>
      </w:pPr>
      <w:r>
        <w:rPr>
          <w:rFonts w:hint="eastAsia" w:ascii="仿宋_GB2312" w:hAnsi="??" w:eastAsia="仿宋_GB2312"/>
          <w:sz w:val="32"/>
          <w:szCs w:val="32"/>
        </w:rPr>
        <w:t>因公出国（境）费支出决算与预算数持平。</w:t>
      </w:r>
    </w:p>
    <w:p>
      <w:pPr>
        <w:ind w:firstLine="640" w:firstLineChars="200"/>
        <w:rPr>
          <w:rFonts w:hint="eastAsia" w:ascii="仿宋_GB2312" w:hAnsi="??" w:eastAsia="仿宋_GB2312"/>
          <w:sz w:val="32"/>
          <w:szCs w:val="32"/>
        </w:rPr>
      </w:pPr>
      <w:r>
        <w:rPr>
          <w:rFonts w:hint="eastAsia" w:ascii="仿宋_GB2312" w:hAnsi="??" w:eastAsia="仿宋_GB2312"/>
          <w:sz w:val="32"/>
          <w:szCs w:val="32"/>
        </w:rPr>
        <w:t>2.公务用车购置及运行维护费支出</w:t>
      </w:r>
      <w:r>
        <w:rPr>
          <w:rFonts w:hint="eastAsia" w:ascii="仿宋_GB2312" w:hAnsi="??" w:eastAsia="仿宋_GB2312"/>
          <w:sz w:val="32"/>
          <w:szCs w:val="32"/>
          <w:lang w:val="en-US" w:eastAsia="zh-CN"/>
        </w:rPr>
        <w:t>0</w:t>
      </w:r>
      <w:r>
        <w:rPr>
          <w:rFonts w:hint="eastAsia" w:ascii="仿宋_GB2312" w:hAnsi="??" w:eastAsia="仿宋_GB2312"/>
          <w:sz w:val="32"/>
          <w:szCs w:val="32"/>
        </w:rPr>
        <w:t>万元</w:t>
      </w:r>
      <w:r>
        <w:rPr>
          <w:rFonts w:hint="eastAsia" w:ascii="仿宋_GB2312" w:hAnsi="??" w:eastAsia="仿宋_GB2312"/>
          <w:sz w:val="32"/>
          <w:szCs w:val="32"/>
          <w:lang w:eastAsia="zh-CN"/>
        </w:rPr>
        <w:t>，</w:t>
      </w:r>
      <w:r>
        <w:rPr>
          <w:rFonts w:hint="eastAsia" w:ascii="仿宋_GB2312" w:hAnsi="??" w:eastAsia="仿宋_GB2312"/>
          <w:sz w:val="32"/>
          <w:szCs w:val="32"/>
        </w:rPr>
        <w:t>其中：</w:t>
      </w:r>
    </w:p>
    <w:p>
      <w:pPr>
        <w:ind w:firstLine="640" w:firstLineChars="200"/>
        <w:rPr>
          <w:rFonts w:hint="eastAsia" w:ascii="仿宋_GB2312" w:hAnsi="??" w:eastAsia="仿宋_GB2312"/>
          <w:sz w:val="32"/>
          <w:szCs w:val="32"/>
        </w:rPr>
      </w:pPr>
      <w:r>
        <w:rPr>
          <w:rFonts w:hint="eastAsia" w:ascii="仿宋_GB2312" w:hAnsi="??" w:eastAsia="仿宋_GB2312"/>
          <w:sz w:val="32"/>
          <w:szCs w:val="32"/>
        </w:rPr>
        <w:t>公务用车购置支出0万元，全年购置公务用车0辆，年末公务用车保有量1辆</w:t>
      </w:r>
      <w:r>
        <w:rPr>
          <w:rFonts w:hint="eastAsia" w:ascii="仿宋_GB2312" w:hAnsi="??" w:eastAsia="仿宋_GB2312"/>
          <w:sz w:val="32"/>
          <w:szCs w:val="32"/>
          <w:lang w:eastAsia="zh-CN"/>
        </w:rPr>
        <w:t>（待报废）</w:t>
      </w:r>
      <w:r>
        <w:rPr>
          <w:rFonts w:hint="eastAsia" w:ascii="仿宋_GB2312" w:hAnsi="??" w:eastAsia="仿宋_GB2312"/>
          <w:sz w:val="32"/>
          <w:szCs w:val="32"/>
        </w:rPr>
        <w:t>。</w:t>
      </w:r>
    </w:p>
    <w:p>
      <w:pPr>
        <w:ind w:firstLine="640" w:firstLineChars="200"/>
        <w:rPr>
          <w:rFonts w:hint="eastAsia" w:ascii="仿宋_GB2312" w:hAnsi="??" w:eastAsia="仿宋_GB2312"/>
          <w:sz w:val="32"/>
          <w:szCs w:val="32"/>
        </w:rPr>
      </w:pPr>
      <w:r>
        <w:rPr>
          <w:rFonts w:hint="eastAsia" w:ascii="仿宋_GB2312" w:hAnsi="??" w:eastAsia="仿宋_GB2312"/>
          <w:sz w:val="32"/>
          <w:szCs w:val="32"/>
        </w:rPr>
        <w:t>公务用车运行维护费支出</w:t>
      </w:r>
      <w:r>
        <w:rPr>
          <w:rFonts w:hint="eastAsia" w:ascii="仿宋_GB2312" w:hAnsi="??" w:eastAsia="仿宋_GB2312"/>
          <w:sz w:val="32"/>
          <w:szCs w:val="32"/>
          <w:lang w:val="en-US" w:eastAsia="zh-CN"/>
        </w:rPr>
        <w:t>0</w:t>
      </w:r>
      <w:r>
        <w:rPr>
          <w:rFonts w:hint="eastAsia" w:ascii="仿宋_GB2312" w:hAnsi="??" w:eastAsia="仿宋_GB2312"/>
          <w:sz w:val="32"/>
          <w:szCs w:val="32"/>
        </w:rPr>
        <w:t>万元。</w:t>
      </w:r>
    </w:p>
    <w:p>
      <w:pPr>
        <w:rPr>
          <w:rFonts w:hint="eastAsia" w:ascii="仿宋_GB2312" w:hAnsi="??" w:eastAsia="仿宋_GB2312"/>
          <w:sz w:val="32"/>
          <w:szCs w:val="32"/>
        </w:rPr>
      </w:pPr>
      <w:r>
        <w:rPr>
          <w:rFonts w:hint="eastAsia" w:ascii="仿宋_GB2312" w:hAnsi="??" w:eastAsia="仿宋_GB2312"/>
          <w:sz w:val="32"/>
          <w:szCs w:val="32"/>
          <w:lang w:val="en-US" w:eastAsia="zh-CN"/>
        </w:rPr>
        <w:t xml:space="preserve">  </w:t>
      </w:r>
      <w:r>
        <w:rPr>
          <w:rFonts w:hint="eastAsia" w:ascii="仿宋_GB2312" w:hAnsi="??" w:eastAsia="仿宋_GB2312"/>
          <w:sz w:val="32"/>
          <w:szCs w:val="32"/>
        </w:rPr>
        <w:t xml:space="preserve"> </w:t>
      </w:r>
      <w:r>
        <w:rPr>
          <w:rFonts w:hint="eastAsia" w:ascii="仿宋_GB2312" w:hAnsi="??" w:eastAsia="仿宋_GB2312"/>
          <w:sz w:val="32"/>
          <w:szCs w:val="32"/>
          <w:lang w:val="en-US" w:eastAsia="zh-CN"/>
        </w:rPr>
        <w:t xml:space="preserve"> </w:t>
      </w:r>
      <w:r>
        <w:rPr>
          <w:rFonts w:hint="eastAsia" w:ascii="仿宋_GB2312" w:hAnsi="??" w:eastAsia="仿宋_GB2312"/>
          <w:sz w:val="32"/>
          <w:szCs w:val="32"/>
        </w:rPr>
        <w:t>3.公务接待费支出0万元，其中：</w:t>
      </w:r>
    </w:p>
    <w:p>
      <w:pPr>
        <w:ind w:firstLine="640" w:firstLineChars="200"/>
        <w:rPr>
          <w:rFonts w:hint="eastAsia" w:ascii="仿宋_GB2312" w:hAnsi="??" w:eastAsia="仿宋_GB2312"/>
          <w:sz w:val="32"/>
          <w:szCs w:val="32"/>
        </w:rPr>
      </w:pPr>
      <w:r>
        <w:rPr>
          <w:rFonts w:hint="eastAsia" w:ascii="仿宋_GB2312" w:hAnsi="??" w:eastAsia="仿宋_GB2312"/>
          <w:sz w:val="32"/>
          <w:szCs w:val="32"/>
        </w:rPr>
        <w:t>国内接待费支出0万元，国内公务接待0批次，接待0人次。</w:t>
      </w:r>
    </w:p>
    <w:p>
      <w:pPr>
        <w:ind w:firstLine="640" w:firstLineChars="200"/>
        <w:rPr>
          <w:rFonts w:hint="eastAsia" w:ascii="仿宋_GB2312" w:hAnsi="??" w:eastAsia="仿宋_GB2312"/>
          <w:sz w:val="32"/>
          <w:szCs w:val="32"/>
        </w:rPr>
      </w:pPr>
      <w:r>
        <w:rPr>
          <w:rFonts w:hint="eastAsia" w:ascii="仿宋_GB2312" w:hAnsi="??" w:eastAsia="仿宋_GB2312"/>
          <w:sz w:val="32"/>
          <w:szCs w:val="32"/>
        </w:rPr>
        <w:t>国（境）外接待费支出0万元，国（境）外公务接待0批次，接待0人次。</w:t>
      </w:r>
    </w:p>
    <w:p>
      <w:pPr>
        <w:pStyle w:val="2"/>
        <w:rPr>
          <w:rFonts w:hint="eastAsia" w:eastAsia="仿宋_GB2312"/>
          <w:lang w:val="en-US" w:eastAsia="zh-CN"/>
        </w:rPr>
      </w:pPr>
      <w:r>
        <w:rPr>
          <w:rFonts w:hint="eastAsia" w:ascii="仿宋_GB2312" w:hAnsi="??" w:eastAsia="仿宋_GB2312"/>
          <w:sz w:val="32"/>
          <w:szCs w:val="32"/>
          <w:lang w:val="en-US" w:eastAsia="zh-CN"/>
        </w:rPr>
        <w:t xml:space="preserve">    公务接待费支出决算数与预算数持平。</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根据财政预算管理要求，我部门（单位）组织对</w:t>
      </w: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2</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14</w:t>
      </w:r>
      <w:r>
        <w:rPr>
          <w:rFonts w:hint="eastAsia" w:ascii="仿宋_GB2312" w:eastAsia="仿宋_GB2312"/>
          <w:sz w:val="32"/>
          <w:szCs w:val="32"/>
        </w:rPr>
        <w:t>个，共涉及资金</w:t>
      </w:r>
      <w:r>
        <w:rPr>
          <w:rFonts w:hint="eastAsia" w:ascii="仿宋_GB2312" w:eastAsia="仿宋_GB2312"/>
          <w:sz w:val="32"/>
          <w:szCs w:val="32"/>
          <w:lang w:val="en-US" w:eastAsia="zh-CN"/>
        </w:rPr>
        <w:t>357.72</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中央补助地方</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博物馆纪念馆免费开放专项资金</w:t>
      </w:r>
      <w:r>
        <w:rPr>
          <w:rFonts w:hint="eastAsia" w:ascii="仿宋_GB2312" w:eastAsia="仿宋_GB2312"/>
          <w:sz w:val="32"/>
          <w:szCs w:val="32"/>
        </w:rPr>
        <w:t>”</w:t>
      </w:r>
      <w:r>
        <w:rPr>
          <w:rFonts w:hint="eastAsia" w:ascii="仿宋_GB2312" w:eastAsia="仿宋_GB2312"/>
          <w:sz w:val="32"/>
          <w:szCs w:val="32"/>
          <w:lang w:eastAsia="zh-CN"/>
        </w:rPr>
        <w:t>、“文物普查征集展览保护”、</w:t>
      </w:r>
      <w:r>
        <w:rPr>
          <w:rFonts w:hint="eastAsia" w:ascii="仿宋_GB2312" w:eastAsia="仿宋_GB2312"/>
          <w:sz w:val="32"/>
          <w:szCs w:val="32"/>
          <w:lang w:val="en-US" w:eastAsia="zh-CN"/>
        </w:rPr>
        <w:t>2</w:t>
      </w:r>
      <w:r>
        <w:rPr>
          <w:rFonts w:hint="eastAsia" w:ascii="仿宋_GB2312" w:eastAsia="仿宋_GB2312"/>
          <w:sz w:val="32"/>
          <w:szCs w:val="32"/>
        </w:rPr>
        <w:t>个项目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130</w:t>
      </w:r>
      <w:r>
        <w:rPr>
          <w:rFonts w:hint="eastAsia" w:ascii="仿宋_GB2312" w:eastAsia="仿宋_GB2312"/>
          <w:sz w:val="32"/>
          <w:szCs w:val="32"/>
        </w:rPr>
        <w:t>万元。从评价情况来看</w:t>
      </w:r>
      <w:r>
        <w:rPr>
          <w:rFonts w:hint="default" w:ascii="仿宋_GB2312" w:hAnsi="Times New Roman" w:eastAsia="仿宋_GB2312" w:cs="Times New Roman"/>
          <w:kern w:val="2"/>
          <w:sz w:val="32"/>
          <w:szCs w:val="32"/>
          <w:highlight w:val="none"/>
          <w:lang w:val="en-US" w:eastAsia="zh-CN" w:bidi="ar"/>
        </w:rPr>
        <w:t>针对各项活动设定了对应的指标，相应的绩效目标可量化。</w:t>
      </w:r>
      <w:r>
        <w:rPr>
          <w:rFonts w:hint="default" w:ascii="仿宋_GB2312" w:hAnsi="Times New Roman" w:eastAsia="仿宋_GB2312" w:cs="Times New Roman"/>
          <w:kern w:val="2"/>
          <w:sz w:val="32"/>
          <w:szCs w:val="32"/>
          <w:highlight w:val="none"/>
          <w:lang w:eastAsia="zh-CN" w:bidi="ar"/>
        </w:rPr>
        <w:t>各项费用支出均按照预先设定的绩效目标实施</w:t>
      </w:r>
      <w:r>
        <w:rPr>
          <w:rFonts w:hint="default" w:ascii="仿宋" w:hAnsi="仿宋" w:eastAsia="仿宋" w:cs="宋体"/>
          <w:kern w:val="0"/>
          <w:sz w:val="32"/>
          <w:szCs w:val="32"/>
          <w:highlight w:val="none"/>
          <w:lang w:eastAsia="zh-CN" w:bidi="ar"/>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ind w:firstLine="640" w:firstLineChars="200"/>
        <w:rPr>
          <w:rFonts w:ascii="仿宋_GB2312" w:eastAsia="仿宋_GB2312"/>
          <w:sz w:val="32"/>
          <w:szCs w:val="32"/>
        </w:rPr>
      </w:pPr>
      <w:r>
        <w:rPr>
          <w:rFonts w:hint="eastAsia" w:ascii="仿宋_GB2312" w:eastAsia="仿宋_GB2312"/>
          <w:sz w:val="32"/>
          <w:szCs w:val="32"/>
        </w:rPr>
        <w:t>我单位无此工作任务</w:t>
      </w:r>
      <w:r>
        <w:rPr>
          <w:rFonts w:hint="eastAsia" w:ascii="仿宋_GB2312" w:eastAsia="仿宋_GB2312"/>
          <w:sz w:val="32"/>
          <w:szCs w:val="32"/>
          <w:lang w:val="en-US" w:eastAsia="zh-CN"/>
        </w:rPr>
        <w:t>。</w:t>
      </w:r>
    </w:p>
    <w:p>
      <w:pPr>
        <w:numPr>
          <w:ilvl w:val="0"/>
          <w:numId w:val="2"/>
        </w:numPr>
        <w:spacing w:line="578" w:lineRule="exact"/>
        <w:ind w:firstLine="643" w:firstLineChars="20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部门评价结果。</w:t>
      </w:r>
    </w:p>
    <w:p>
      <w:pPr>
        <w:pStyle w:val="2"/>
        <w:numPr>
          <w:ilvl w:val="0"/>
          <w:numId w:val="0"/>
        </w:numPr>
        <w:rPr>
          <w:rFonts w:hint="eastAsia" w:eastAsiaTheme="minorEastAsia"/>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无</w:t>
      </w:r>
    </w:p>
    <w:p>
      <w:pPr>
        <w:numPr>
          <w:ilvl w:val="0"/>
          <w:numId w:val="2"/>
        </w:numPr>
        <w:spacing w:line="578" w:lineRule="exact"/>
        <w:ind w:firstLine="643" w:firstLineChars="200"/>
        <w:rPr>
          <w:rFonts w:hint="eastAsia" w:ascii="楷体" w:hAnsi="楷体" w:eastAsia="楷体" w:cs="楷体"/>
          <w:b/>
          <w:color w:val="auto"/>
          <w:sz w:val="32"/>
          <w:szCs w:val="32"/>
          <w:u w:val="none"/>
        </w:rPr>
      </w:pPr>
      <w:r>
        <w:rPr>
          <w:rFonts w:hint="eastAsia" w:ascii="楷体" w:hAnsi="楷体" w:eastAsia="楷体" w:cs="楷体"/>
          <w:b/>
          <w:color w:val="auto"/>
          <w:sz w:val="32"/>
          <w:szCs w:val="32"/>
          <w:lang w:val="en-US" w:eastAsia="zh-CN"/>
        </w:rPr>
        <w:t>财政</w:t>
      </w:r>
      <w:r>
        <w:rPr>
          <w:rFonts w:hint="eastAsia" w:ascii="楷体" w:hAnsi="楷体" w:eastAsia="楷体" w:cs="楷体"/>
          <w:b/>
          <w:color w:val="auto"/>
          <w:sz w:val="32"/>
          <w:szCs w:val="32"/>
          <w:lang w:val="en-US"/>
        </w:rPr>
        <w:t>评价结果</w:t>
      </w:r>
      <w:r>
        <w:rPr>
          <w:rFonts w:hint="eastAsia" w:ascii="楷体" w:hAnsi="楷体" w:eastAsia="楷体" w:cs="楷体"/>
          <w:b/>
          <w:color w:val="auto"/>
          <w:sz w:val="32"/>
          <w:szCs w:val="32"/>
          <w:u w:val="none"/>
        </w:rPr>
        <w:t>。</w:t>
      </w:r>
    </w:p>
    <w:p>
      <w:pPr>
        <w:pStyle w:val="2"/>
        <w:numPr>
          <w:ilvl w:val="0"/>
          <w:numId w:val="0"/>
        </w:numPr>
        <w:rPr>
          <w:rFonts w:hint="eastAsia" w:eastAsiaTheme="minorEastAsia"/>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十一、</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0" w:name="_Toc5978_WPSOffice_Level2"/>
      <w:bookmarkStart w:id="91" w:name="_Toc23598_WPSOffice_Level2"/>
      <w:bookmarkStart w:id="92" w:name="_Toc15565_WPSOffice_Level2"/>
      <w:bookmarkStart w:id="93" w:name="_Toc15262_WPSOffice_Level2"/>
      <w:bookmarkStart w:id="94" w:name="_Toc18325_WPSOffice_Level2"/>
      <w:bookmarkStart w:id="95" w:name="_Toc32639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0"/>
      <w:bookmarkEnd w:id="91"/>
      <w:bookmarkEnd w:id="92"/>
      <w:bookmarkEnd w:id="93"/>
      <w:bookmarkEnd w:id="94"/>
      <w:bookmarkEnd w:id="95"/>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2022年度三亚市</w:t>
      </w:r>
      <w:r>
        <w:rPr>
          <w:rFonts w:hint="eastAsia" w:ascii="仿宋_GB2312" w:hAnsi="仿宋_GB2312" w:eastAsia="仿宋_GB2312" w:cs="仿宋_GB2312"/>
          <w:sz w:val="32"/>
          <w:szCs w:val="32"/>
          <w:lang w:eastAsia="zh-CN"/>
        </w:rPr>
        <w:t>博物</w:t>
      </w:r>
      <w:r>
        <w:rPr>
          <w:rFonts w:hint="eastAsia" w:ascii="仿宋_GB2312" w:hAnsi="仿宋_GB2312" w:eastAsia="仿宋_GB2312" w:cs="仿宋_GB2312"/>
          <w:sz w:val="32"/>
          <w:szCs w:val="32"/>
        </w:rPr>
        <w:t>馆机关运行经费0万元。</w:t>
      </w:r>
    </w:p>
    <w:p>
      <w:pPr>
        <w:ind w:firstLine="643" w:firstLineChars="200"/>
        <w:rPr>
          <w:rFonts w:hint="eastAsia" w:ascii="楷体" w:hAnsi="楷体" w:eastAsia="楷体" w:cs="楷体"/>
          <w:b/>
          <w:sz w:val="32"/>
          <w:szCs w:val="32"/>
        </w:rPr>
      </w:pPr>
      <w:bookmarkStart w:id="96" w:name="_Toc13084_WPSOffice_Level2"/>
      <w:bookmarkStart w:id="97" w:name="_Toc23966_WPSOffice_Level2"/>
      <w:bookmarkStart w:id="98" w:name="_Toc25333_WPSOffice_Level2"/>
      <w:bookmarkStart w:id="99" w:name="_Toc32689_WPSOffice_Level2"/>
      <w:bookmarkStart w:id="100" w:name="_Toc30383_WPSOffice_Level2"/>
      <w:bookmarkStart w:id="101" w:name="_Toc3131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96"/>
      <w:bookmarkEnd w:id="97"/>
      <w:bookmarkEnd w:id="98"/>
      <w:bookmarkEnd w:id="99"/>
      <w:bookmarkEnd w:id="100"/>
      <w:bookmarkEnd w:id="101"/>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年度三亚市博物馆</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highlight w:val="none"/>
        </w:rPr>
        <w:t>授予中小企业合同金额</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万元，占政府采购支出总额的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%，其中：授予小微企业合同金额</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万元，占政府采购支出总额的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3" w:firstLineChars="200"/>
        <w:rPr>
          <w:rFonts w:hint="eastAsia" w:ascii="楷体" w:hAnsi="楷体" w:eastAsia="楷体" w:cs="楷体"/>
          <w:b/>
          <w:sz w:val="32"/>
          <w:szCs w:val="32"/>
        </w:rPr>
      </w:pPr>
      <w:bookmarkStart w:id="102" w:name="_Toc6016_WPSOffice_Level2"/>
      <w:bookmarkStart w:id="103" w:name="_Toc10902_WPSOffice_Level2"/>
      <w:bookmarkStart w:id="104" w:name="_Toc29584_WPSOffice_Level2"/>
      <w:bookmarkStart w:id="105" w:name="_Toc19989_WPSOffice_Level2"/>
      <w:bookmarkStart w:id="106" w:name="_Toc15129_WPSOffice_Level2"/>
      <w:bookmarkStart w:id="107" w:name="_Toc527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2"/>
      <w:bookmarkEnd w:id="103"/>
      <w:bookmarkEnd w:id="104"/>
      <w:bookmarkEnd w:id="105"/>
      <w:bookmarkEnd w:id="106"/>
      <w:bookmarkEnd w:id="107"/>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本部门占用房屋面积189平方米，其中：办公用房89平方米，业务用房100平方米。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w:t>
      </w:r>
      <w:r>
        <w:rPr>
          <w:rFonts w:hint="eastAsia" w:ascii="仿宋_GB2312" w:hAnsi="ˎ̥" w:eastAsia="仿宋_GB2312"/>
          <w:sz w:val="32"/>
          <w:szCs w:val="32"/>
        </w:rPr>
        <w:t>其他用车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w:t>
      </w:r>
      <w:r>
        <w:rPr>
          <w:rFonts w:hint="eastAsia" w:ascii="仿宋_GB2312" w:hAnsi="??" w:eastAsia="仿宋_GB2312"/>
          <w:sz w:val="32"/>
          <w:szCs w:val="32"/>
        </w:rPr>
        <w:t>主要是</w:t>
      </w:r>
      <w:r>
        <w:rPr>
          <w:rFonts w:hint="eastAsia" w:ascii="仿宋_GB2312" w:hAnsi="??" w:eastAsia="仿宋_GB2312"/>
          <w:sz w:val="32"/>
          <w:szCs w:val="32"/>
          <w:lang w:eastAsia="zh-CN"/>
        </w:rPr>
        <w:t>因为</w:t>
      </w:r>
      <w:r>
        <w:rPr>
          <w:rFonts w:hint="eastAsia" w:ascii="仿宋_GB2312" w:hAnsi="??" w:eastAsia="仿宋_GB2312"/>
          <w:sz w:val="32"/>
          <w:szCs w:val="32"/>
        </w:rPr>
        <w:t>该车辆待报废</w:t>
      </w:r>
      <w:r>
        <w:rPr>
          <w:rFonts w:hint="eastAsia" w:ascii="仿宋_GB2312" w:hAnsi="??" w:eastAsia="仿宋_GB2312"/>
          <w:sz w:val="32"/>
          <w:szCs w:val="32"/>
          <w:lang w:eastAsia="zh-CN"/>
        </w:rPr>
        <w:t>中</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08" w:name="_Toc8808_WPSOffice_Level1"/>
      <w:bookmarkStart w:id="109" w:name="_Toc11039_WPSOffice_Level1"/>
      <w:bookmarkStart w:id="110" w:name="_Toc4398_WPSOffice_Level1"/>
      <w:bookmarkStart w:id="111" w:name="_Toc17580_WPSOffice_Level1"/>
      <w:bookmarkStart w:id="112" w:name="_Toc8874_WPSOffice_Level1"/>
      <w:bookmarkStart w:id="113" w:name="_Toc15425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08"/>
      <w:bookmarkEnd w:id="109"/>
      <w:bookmarkEnd w:id="110"/>
      <w:bookmarkEnd w:id="111"/>
      <w:bookmarkEnd w:id="112"/>
      <w:bookmarkEnd w:id="113"/>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p>
    <w:p>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
    <w:altName w:val="Times New Roman"/>
    <w:panose1 w:val="00000000000000000000"/>
    <w:charset w:val="00"/>
    <w:family w:val="decorative"/>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1697530813">
    <w:nsid w:val="652E43BD"/>
    <w:multiLevelType w:val="singleLevel"/>
    <w:tmpl w:val="652E43BD"/>
    <w:lvl w:ilvl="0" w:tentative="1">
      <w:start w:val="3"/>
      <w:numFmt w:val="chineseCounting"/>
      <w:suff w:val="nothing"/>
      <w:lvlText w:val="（%1）"/>
      <w:lvlJc w:val="left"/>
    </w:lvl>
  </w:abstractNum>
  <w:abstractNum w:abstractNumId="2952539596">
    <w:nsid w:val="AFFC2DCC"/>
    <w:multiLevelType w:val="singleLevel"/>
    <w:tmpl w:val="AFFC2DCC"/>
    <w:lvl w:ilvl="0" w:tentative="1">
      <w:start w:val="1"/>
      <w:numFmt w:val="chineseCounting"/>
      <w:suff w:val="nothing"/>
      <w:lvlText w:val="%1、"/>
      <w:lvlJc w:val="left"/>
      <w:rPr>
        <w:rFonts w:hint="eastAsia"/>
      </w:rPr>
    </w:lvl>
  </w:abstractNum>
  <w:num w:numId="1">
    <w:abstractNumId w:val="1913692045"/>
  </w:num>
  <w:num w:numId="2">
    <w:abstractNumId w:val="1697530813"/>
  </w:num>
  <w:num w:numId="3">
    <w:abstractNumId w:val="295253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jg2ZTUyNTA0OWEyM2M5NGI5YjQzZjA1MzNmNzcifQ=="/>
  </w:docVars>
  <w:rsids>
    <w:rsidRoot w:val="37B130AF"/>
    <w:rsid w:val="00A87DE8"/>
    <w:rsid w:val="00B86C97"/>
    <w:rsid w:val="00EB59C3"/>
    <w:rsid w:val="06DE6530"/>
    <w:rsid w:val="0C2C315B"/>
    <w:rsid w:val="0C607F90"/>
    <w:rsid w:val="0C6D7F46"/>
    <w:rsid w:val="0CE764CC"/>
    <w:rsid w:val="0E931727"/>
    <w:rsid w:val="0ED402CC"/>
    <w:rsid w:val="11DD7EA8"/>
    <w:rsid w:val="127A617D"/>
    <w:rsid w:val="12B97D30"/>
    <w:rsid w:val="12FB0941"/>
    <w:rsid w:val="15176CB0"/>
    <w:rsid w:val="157D69BB"/>
    <w:rsid w:val="15F875E6"/>
    <w:rsid w:val="177C13BA"/>
    <w:rsid w:val="185543F4"/>
    <w:rsid w:val="18B0756E"/>
    <w:rsid w:val="1A9C0023"/>
    <w:rsid w:val="1B8E449A"/>
    <w:rsid w:val="1E69474C"/>
    <w:rsid w:val="1F976A29"/>
    <w:rsid w:val="22A76AFC"/>
    <w:rsid w:val="29910CF5"/>
    <w:rsid w:val="2A807146"/>
    <w:rsid w:val="2B2F07C6"/>
    <w:rsid w:val="2C4B4C1E"/>
    <w:rsid w:val="2D812D1E"/>
    <w:rsid w:val="2E237CC3"/>
    <w:rsid w:val="315E6AFD"/>
    <w:rsid w:val="32AD40A9"/>
    <w:rsid w:val="32BF4AEF"/>
    <w:rsid w:val="35123C15"/>
    <w:rsid w:val="363771EE"/>
    <w:rsid w:val="371D62BE"/>
    <w:rsid w:val="37B130AF"/>
    <w:rsid w:val="38BD0A2F"/>
    <w:rsid w:val="3AD50228"/>
    <w:rsid w:val="3B81349B"/>
    <w:rsid w:val="3C3B7173"/>
    <w:rsid w:val="3FBE33D3"/>
    <w:rsid w:val="3FE200A5"/>
    <w:rsid w:val="41032227"/>
    <w:rsid w:val="46864546"/>
    <w:rsid w:val="469D2F78"/>
    <w:rsid w:val="47927375"/>
    <w:rsid w:val="482C618B"/>
    <w:rsid w:val="48DA0E25"/>
    <w:rsid w:val="49547F2F"/>
    <w:rsid w:val="4C670149"/>
    <w:rsid w:val="4DEF2815"/>
    <w:rsid w:val="50D14BB5"/>
    <w:rsid w:val="517A38D6"/>
    <w:rsid w:val="53F61009"/>
    <w:rsid w:val="54873B2C"/>
    <w:rsid w:val="564447AA"/>
    <w:rsid w:val="566E5889"/>
    <w:rsid w:val="5786319A"/>
    <w:rsid w:val="583733A3"/>
    <w:rsid w:val="58541E99"/>
    <w:rsid w:val="58D31EA0"/>
    <w:rsid w:val="5A382944"/>
    <w:rsid w:val="5A951EF8"/>
    <w:rsid w:val="5B8E4B3F"/>
    <w:rsid w:val="5C8D2751"/>
    <w:rsid w:val="5CD526CC"/>
    <w:rsid w:val="5D7A5AE4"/>
    <w:rsid w:val="5EB61570"/>
    <w:rsid w:val="608B5A70"/>
    <w:rsid w:val="608C23F6"/>
    <w:rsid w:val="623E242B"/>
    <w:rsid w:val="650A629B"/>
    <w:rsid w:val="65495C68"/>
    <w:rsid w:val="666214A6"/>
    <w:rsid w:val="67D01261"/>
    <w:rsid w:val="69434A4E"/>
    <w:rsid w:val="6A090F70"/>
    <w:rsid w:val="6A8353C1"/>
    <w:rsid w:val="6A9C0CCD"/>
    <w:rsid w:val="6B336C77"/>
    <w:rsid w:val="6CA421A9"/>
    <w:rsid w:val="6F543924"/>
    <w:rsid w:val="6F936957"/>
    <w:rsid w:val="7106716B"/>
    <w:rsid w:val="71763EDA"/>
    <w:rsid w:val="718A6452"/>
    <w:rsid w:val="73EA638B"/>
    <w:rsid w:val="74002C3C"/>
    <w:rsid w:val="758D193E"/>
    <w:rsid w:val="75F80848"/>
    <w:rsid w:val="761D45D0"/>
    <w:rsid w:val="76FC637A"/>
    <w:rsid w:val="77D25E86"/>
    <w:rsid w:val="784857F4"/>
    <w:rsid w:val="784C5CC1"/>
    <w:rsid w:val="79284D34"/>
    <w:rsid w:val="7C73557D"/>
    <w:rsid w:val="7C911551"/>
    <w:rsid w:val="7D9817C8"/>
    <w:rsid w:val="7E6A7C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正文1 Char Char Char"/>
    <w:basedOn w:val="1"/>
    <w:link w:val="4"/>
    <w:qFormat/>
    <w:uiPriority w:val="0"/>
    <w:pPr>
      <w:spacing w:line="360" w:lineRule="auto"/>
      <w:ind w:firstLine="200" w:firstLineChars="200"/>
    </w:pPr>
  </w:style>
  <w:style w:type="character" w:styleId="6">
    <w:name w:val="page number"/>
    <w:basedOn w:val="4"/>
    <w:qFormat/>
    <w:uiPriority w:val="0"/>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4899</Words>
  <Characters>5260</Characters>
  <Lines>0</Lines>
  <Paragraphs>0</Paragraphs>
  <TotalTime>0</TotalTime>
  <ScaleCrop>false</ScaleCrop>
  <LinksUpToDate>false</LinksUpToDate>
  <CharactersWithSpaces>5399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2023-10-07T00:33:00Z</dcterms:created>
  <dc:creator>Administrator</dc:creator>
  <cp:lastModifiedBy>Administrator</cp:lastModifiedBy>
  <dcterms:modified xsi:type="dcterms:W3CDTF">2023-10-20T01:50:45Z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BE57CDFCBE5A4CBCA292F00BE44DCB9E_12</vt:lpwstr>
  </property>
</Properties>
</file>